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561B" w14:textId="47A71357" w:rsidR="00864BDF" w:rsidRPr="00BC3556" w:rsidRDefault="00864BDF" w:rsidP="00864BDF">
      <w:pPr>
        <w:jc w:val="center"/>
        <w:rPr>
          <w:b/>
          <w:sz w:val="24"/>
          <w:szCs w:val="24"/>
          <w:lang w:val="es-ES"/>
        </w:rPr>
      </w:pPr>
      <w:r w:rsidRPr="00BC3556">
        <w:rPr>
          <w:b/>
          <w:sz w:val="24"/>
          <w:szCs w:val="24"/>
          <w:lang w:val="es-ES"/>
        </w:rPr>
        <w:t>COMENTARIOS DE LA C</w:t>
      </w:r>
      <w:r w:rsidR="008A297D" w:rsidRPr="00BC3556">
        <w:rPr>
          <w:b/>
          <w:sz w:val="24"/>
          <w:szCs w:val="24"/>
          <w:lang w:val="es-ES"/>
        </w:rPr>
        <w:t xml:space="preserve">ORPORACIÓN EXCELENCIA EN LA JUSTICIA </w:t>
      </w:r>
      <w:r w:rsidR="00FD71A0" w:rsidRPr="00BC3556">
        <w:rPr>
          <w:b/>
          <w:sz w:val="24"/>
          <w:szCs w:val="24"/>
          <w:lang w:val="es-ES"/>
        </w:rPr>
        <w:t>A</w:t>
      </w:r>
      <w:r w:rsidRPr="00BC3556">
        <w:rPr>
          <w:b/>
          <w:sz w:val="24"/>
          <w:szCs w:val="24"/>
          <w:lang w:val="es-ES"/>
        </w:rPr>
        <w:t xml:space="preserve"> LA REFORMA DE EQUILIBRIO DE PODERES</w:t>
      </w:r>
    </w:p>
    <w:p w14:paraId="6F9DC2F3" w14:textId="28BB4D78" w:rsidR="008A297D" w:rsidRPr="00BC3556" w:rsidRDefault="008A297D" w:rsidP="00864BDF">
      <w:pPr>
        <w:jc w:val="center"/>
        <w:rPr>
          <w:b/>
          <w:sz w:val="24"/>
          <w:szCs w:val="24"/>
          <w:lang w:val="es-ES"/>
        </w:rPr>
      </w:pPr>
      <w:r w:rsidRPr="00BC3556">
        <w:rPr>
          <w:b/>
          <w:sz w:val="24"/>
          <w:szCs w:val="24"/>
          <w:lang w:val="es-ES"/>
        </w:rPr>
        <w:t>(1-octubre-2014)</w:t>
      </w:r>
    </w:p>
    <w:p w14:paraId="3497AB4B" w14:textId="77777777" w:rsidR="008A297D" w:rsidRPr="00BC3556" w:rsidRDefault="008A297D" w:rsidP="0016343F">
      <w:pPr>
        <w:jc w:val="both"/>
        <w:rPr>
          <w:sz w:val="24"/>
          <w:szCs w:val="24"/>
          <w:lang w:val="es-ES"/>
        </w:rPr>
      </w:pPr>
    </w:p>
    <w:p w14:paraId="7F0B6EC6" w14:textId="01E954F6" w:rsidR="0060679C" w:rsidRPr="00BC3556" w:rsidRDefault="00864BDF" w:rsidP="00802E39">
      <w:pPr>
        <w:jc w:val="both"/>
        <w:rPr>
          <w:sz w:val="24"/>
          <w:szCs w:val="24"/>
        </w:rPr>
      </w:pPr>
      <w:r w:rsidRPr="00BC3556">
        <w:rPr>
          <w:sz w:val="24"/>
          <w:szCs w:val="24"/>
          <w:lang w:val="es-ES"/>
        </w:rPr>
        <w:t>La Corporación Excelencia a la Justicia</w:t>
      </w:r>
      <w:r w:rsidR="00FD71A0" w:rsidRPr="00BC3556">
        <w:rPr>
          <w:sz w:val="24"/>
          <w:szCs w:val="24"/>
          <w:lang w:val="es-ES"/>
        </w:rPr>
        <w:t xml:space="preserve"> (en adelante CEJ)</w:t>
      </w:r>
      <w:r w:rsidRPr="00BC3556">
        <w:rPr>
          <w:sz w:val="24"/>
          <w:szCs w:val="24"/>
          <w:lang w:val="es-ES"/>
        </w:rPr>
        <w:t xml:space="preserve"> realizó un análisis </w:t>
      </w:r>
      <w:r w:rsidR="00FD71A0" w:rsidRPr="00BC3556">
        <w:rPr>
          <w:sz w:val="24"/>
          <w:szCs w:val="24"/>
          <w:lang w:val="es-ES"/>
        </w:rPr>
        <w:t>de las principales discusiones que se han presentado en materia de Justicia con ocasión del Proyecto de</w:t>
      </w:r>
      <w:r w:rsidRPr="00BC3556">
        <w:rPr>
          <w:sz w:val="24"/>
          <w:szCs w:val="24"/>
          <w:lang w:val="es-ES"/>
        </w:rPr>
        <w:t xml:space="preserve"> Equilibrio de Poderes</w:t>
      </w:r>
      <w:r w:rsidR="00867EA5" w:rsidRPr="00BC3556">
        <w:rPr>
          <w:rStyle w:val="Refdenotaalpie"/>
          <w:sz w:val="24"/>
          <w:szCs w:val="24"/>
          <w:lang w:val="es-ES"/>
        </w:rPr>
        <w:footnoteReference w:id="1"/>
      </w:r>
      <w:r w:rsidRPr="00BC3556">
        <w:rPr>
          <w:i/>
          <w:sz w:val="24"/>
          <w:szCs w:val="24"/>
          <w:lang w:val="es-ES"/>
        </w:rPr>
        <w:t xml:space="preserve"> </w:t>
      </w:r>
      <w:r w:rsidRPr="00BC3556">
        <w:rPr>
          <w:sz w:val="24"/>
          <w:szCs w:val="24"/>
          <w:lang w:val="es-ES"/>
        </w:rPr>
        <w:t xml:space="preserve">y pone a su consideración algunas ideas alrededor </w:t>
      </w:r>
      <w:r w:rsidRPr="00BC3556">
        <w:rPr>
          <w:sz w:val="24"/>
          <w:szCs w:val="24"/>
        </w:rPr>
        <w:t xml:space="preserve">de los </w:t>
      </w:r>
      <w:r w:rsidR="00FD71A0" w:rsidRPr="00BC3556">
        <w:rPr>
          <w:sz w:val="24"/>
          <w:szCs w:val="24"/>
        </w:rPr>
        <w:t xml:space="preserve">siguientes </w:t>
      </w:r>
      <w:r w:rsidRPr="00BC3556">
        <w:rPr>
          <w:sz w:val="24"/>
          <w:szCs w:val="24"/>
        </w:rPr>
        <w:t xml:space="preserve">temas: tribunal de aforados, jurisdicción disciplinaria, </w:t>
      </w:r>
      <w:r w:rsidR="00334A5D" w:rsidRPr="00BC3556">
        <w:rPr>
          <w:sz w:val="24"/>
          <w:szCs w:val="24"/>
        </w:rPr>
        <w:t>elección de las altas cortes y gobierno y</w:t>
      </w:r>
      <w:r w:rsidRPr="00BC3556">
        <w:rPr>
          <w:sz w:val="24"/>
          <w:szCs w:val="24"/>
        </w:rPr>
        <w:t xml:space="preserve"> administración de la Rama Judicial. </w:t>
      </w:r>
    </w:p>
    <w:p w14:paraId="3B993311" w14:textId="30274604" w:rsidR="00864BDF" w:rsidRPr="00BC3556" w:rsidRDefault="00CE355E" w:rsidP="00864BDF">
      <w:pPr>
        <w:pStyle w:val="Ttulo2"/>
        <w:rPr>
          <w:rFonts w:asciiTheme="minorHAnsi" w:eastAsiaTheme="minorEastAsia" w:hAnsiTheme="minorHAnsi" w:cstheme="minorBidi"/>
          <w:bCs w:val="0"/>
          <w:color w:val="auto"/>
          <w:sz w:val="24"/>
          <w:szCs w:val="24"/>
          <w:lang w:val="es-ES"/>
        </w:rPr>
      </w:pPr>
      <w:r w:rsidRPr="00BC3556">
        <w:rPr>
          <w:rFonts w:asciiTheme="minorHAnsi" w:eastAsiaTheme="minorEastAsia" w:hAnsiTheme="minorHAnsi" w:cstheme="minorBidi"/>
          <w:bCs w:val="0"/>
          <w:color w:val="auto"/>
          <w:sz w:val="24"/>
          <w:szCs w:val="24"/>
          <w:lang w:val="es-ES"/>
        </w:rPr>
        <w:t xml:space="preserve">1. </w:t>
      </w:r>
      <w:r w:rsidR="00864BDF" w:rsidRPr="00BC3556">
        <w:rPr>
          <w:rFonts w:asciiTheme="minorHAnsi" w:eastAsiaTheme="minorEastAsia" w:hAnsiTheme="minorHAnsi" w:cstheme="minorBidi"/>
          <w:bCs w:val="0"/>
          <w:color w:val="auto"/>
          <w:sz w:val="24"/>
          <w:szCs w:val="24"/>
          <w:lang w:val="es-ES"/>
        </w:rPr>
        <w:t xml:space="preserve">Tribunal de </w:t>
      </w:r>
      <w:r w:rsidR="00C10CEA" w:rsidRPr="00BC3556">
        <w:rPr>
          <w:rFonts w:asciiTheme="minorHAnsi" w:eastAsiaTheme="minorEastAsia" w:hAnsiTheme="minorHAnsi" w:cstheme="minorBidi"/>
          <w:bCs w:val="0"/>
          <w:color w:val="auto"/>
          <w:sz w:val="24"/>
          <w:szCs w:val="24"/>
          <w:lang w:val="es-ES"/>
        </w:rPr>
        <w:t>máximos a</w:t>
      </w:r>
      <w:r w:rsidR="00864BDF" w:rsidRPr="00BC3556">
        <w:rPr>
          <w:rFonts w:asciiTheme="minorHAnsi" w:eastAsiaTheme="minorEastAsia" w:hAnsiTheme="minorHAnsi" w:cstheme="minorBidi"/>
          <w:bCs w:val="0"/>
          <w:color w:val="auto"/>
          <w:sz w:val="24"/>
          <w:szCs w:val="24"/>
          <w:lang w:val="es-ES"/>
        </w:rPr>
        <w:t>forados</w:t>
      </w:r>
    </w:p>
    <w:p w14:paraId="187ADA9A" w14:textId="77777777" w:rsidR="00564A41" w:rsidRPr="00BC3556" w:rsidRDefault="00564A41" w:rsidP="00564A41">
      <w:pPr>
        <w:pStyle w:val="Prrafodelista"/>
        <w:jc w:val="both"/>
      </w:pPr>
    </w:p>
    <w:p w14:paraId="680C3078" w14:textId="497E2557" w:rsidR="00683258" w:rsidRPr="00BC3556" w:rsidRDefault="00864BDF" w:rsidP="00C10CEA">
      <w:pPr>
        <w:pStyle w:val="Prrafodelista"/>
        <w:numPr>
          <w:ilvl w:val="0"/>
          <w:numId w:val="15"/>
        </w:numPr>
        <w:jc w:val="both"/>
      </w:pPr>
      <w:r w:rsidRPr="00BC3556">
        <w:t xml:space="preserve">El </w:t>
      </w:r>
      <w:r w:rsidR="00334A5D" w:rsidRPr="00BC3556">
        <w:t xml:space="preserve">máximo </w:t>
      </w:r>
      <w:r w:rsidRPr="00BC3556">
        <w:t>fuero constit</w:t>
      </w:r>
      <w:r w:rsidR="00683258" w:rsidRPr="00BC3556">
        <w:t>ucional debe</w:t>
      </w:r>
      <w:r w:rsidR="00564A41" w:rsidRPr="00BC3556">
        <w:t>ría</w:t>
      </w:r>
      <w:r w:rsidR="00683258" w:rsidRPr="00BC3556">
        <w:t xml:space="preserve"> estar reservado</w:t>
      </w:r>
      <w:r w:rsidRPr="00BC3556">
        <w:t xml:space="preserve"> </w:t>
      </w:r>
      <w:r w:rsidR="00683258" w:rsidRPr="00BC3556">
        <w:t>para</w:t>
      </w:r>
      <w:r w:rsidRPr="00BC3556">
        <w:t xml:space="preserve"> los más altos dignatarios que ejerzan funciones políticas</w:t>
      </w:r>
      <w:r w:rsidR="00683258" w:rsidRPr="00BC3556">
        <w:t>, lo cual justifica</w:t>
      </w:r>
      <w:r w:rsidRPr="00BC3556">
        <w:t xml:space="preserve"> un p</w:t>
      </w:r>
      <w:r w:rsidR="00683258" w:rsidRPr="00BC3556">
        <w:t xml:space="preserve">roceso de juzgamiento diferente.  </w:t>
      </w:r>
      <w:r w:rsidR="00334A5D" w:rsidRPr="00BC3556">
        <w:t xml:space="preserve">Por lo tanto debe diferenciarse del fuero de otros altos dignatarios que no ejercen funciones políticas, como </w:t>
      </w:r>
      <w:r w:rsidR="00683258" w:rsidRPr="00BC3556">
        <w:t>el Fiscal G</w:t>
      </w:r>
      <w:r w:rsidRPr="00BC3556">
        <w:t xml:space="preserve">eneral de la Nación </w:t>
      </w:r>
      <w:r w:rsidR="00683258" w:rsidRPr="00BC3556">
        <w:t xml:space="preserve">y </w:t>
      </w:r>
      <w:r w:rsidRPr="00BC3556">
        <w:t xml:space="preserve">los magistrados de las altas cortes. </w:t>
      </w:r>
    </w:p>
    <w:p w14:paraId="677B83EE" w14:textId="77777777" w:rsidR="00967735" w:rsidRPr="00BC3556" w:rsidRDefault="00967735" w:rsidP="00967735">
      <w:pPr>
        <w:pStyle w:val="Prrafodelista"/>
        <w:jc w:val="both"/>
      </w:pPr>
    </w:p>
    <w:p w14:paraId="07333A30" w14:textId="65DECEF0" w:rsidR="00967735" w:rsidRPr="00BC3556" w:rsidRDefault="00967735" w:rsidP="00967735">
      <w:pPr>
        <w:pStyle w:val="Prrafodelista"/>
        <w:numPr>
          <w:ilvl w:val="0"/>
          <w:numId w:val="15"/>
        </w:numPr>
        <w:jc w:val="both"/>
      </w:pPr>
      <w:r w:rsidRPr="00BC3556">
        <w:t>El sistema de conformación del Tribunal debe asegurar su independencia y evitar que los posibles investigados puedan postular o influir en la elección de su propio juez.</w:t>
      </w:r>
    </w:p>
    <w:p w14:paraId="2FB5A78D" w14:textId="77777777" w:rsidR="007131F4" w:rsidRPr="00BC3556" w:rsidRDefault="007131F4" w:rsidP="007131F4">
      <w:pPr>
        <w:jc w:val="both"/>
        <w:rPr>
          <w:sz w:val="24"/>
          <w:szCs w:val="24"/>
        </w:rPr>
      </w:pPr>
    </w:p>
    <w:p w14:paraId="1B317F84" w14:textId="7754B1BB" w:rsidR="00967735" w:rsidRPr="00BC3556" w:rsidRDefault="0045157F" w:rsidP="00967735">
      <w:pPr>
        <w:pStyle w:val="Prrafodelista"/>
        <w:numPr>
          <w:ilvl w:val="0"/>
          <w:numId w:val="15"/>
        </w:numPr>
        <w:jc w:val="both"/>
      </w:pPr>
      <w:r w:rsidRPr="00BC3556">
        <w:t xml:space="preserve">Que </w:t>
      </w:r>
      <w:r w:rsidR="00CE355E" w:rsidRPr="00BC3556">
        <w:t xml:space="preserve">el fuero </w:t>
      </w:r>
      <w:r w:rsidRPr="00BC3556">
        <w:t>sea a</w:t>
      </w:r>
      <w:r w:rsidR="00864BDF" w:rsidRPr="00BC3556">
        <w:t>plicable únicamente al Presidente de la República o quien haga sus veces, al Vicepresidente de la República, sólo en ejercicio de la función presidencial</w:t>
      </w:r>
      <w:r w:rsidRPr="00BC3556">
        <w:t>,</w:t>
      </w:r>
      <w:r w:rsidR="00864BDF" w:rsidRPr="00BC3556">
        <w:t xml:space="preserve"> y a los magistrados del Tribunal Di</w:t>
      </w:r>
      <w:r w:rsidRPr="00BC3556">
        <w:t xml:space="preserve">sciplinario y Penal de Aforados </w:t>
      </w:r>
      <w:r w:rsidR="00864BDF" w:rsidRPr="00BC3556">
        <w:t>(</w:t>
      </w:r>
      <w:r w:rsidR="00006577" w:rsidRPr="00BC3556">
        <w:t xml:space="preserve">la creación de este último se propone y </w:t>
      </w:r>
      <w:r w:rsidRPr="00BC3556">
        <w:t>explica en el siguiente acápite de este mismo documento</w:t>
      </w:r>
      <w:r w:rsidR="00864BDF" w:rsidRPr="00BC3556">
        <w:t>).</w:t>
      </w:r>
    </w:p>
    <w:p w14:paraId="07DA9F5B" w14:textId="77777777" w:rsidR="0045157F" w:rsidRPr="00BC3556" w:rsidRDefault="0045157F" w:rsidP="00C10CEA">
      <w:pPr>
        <w:pStyle w:val="Prrafodelista"/>
        <w:spacing w:line="276" w:lineRule="auto"/>
        <w:jc w:val="both"/>
        <w:rPr>
          <w:lang w:eastAsia="es-CO"/>
        </w:rPr>
      </w:pPr>
    </w:p>
    <w:p w14:paraId="5B35DFDD" w14:textId="74145E09" w:rsidR="0009578B" w:rsidRPr="00BC3556" w:rsidRDefault="00864BDF" w:rsidP="007131F4">
      <w:pPr>
        <w:pStyle w:val="Prrafodelista"/>
        <w:numPr>
          <w:ilvl w:val="0"/>
          <w:numId w:val="15"/>
        </w:numPr>
        <w:jc w:val="both"/>
      </w:pPr>
      <w:r w:rsidRPr="00BC3556">
        <w:t>El Tribunal de aforados no debe ser un órgano permanente</w:t>
      </w:r>
      <w:r w:rsidR="00C10CEA" w:rsidRPr="00BC3556">
        <w:rPr>
          <w:rStyle w:val="Refdenotaalpie"/>
        </w:rPr>
        <w:footnoteReference w:id="2"/>
      </w:r>
      <w:r w:rsidRPr="00BC3556">
        <w:t>. Cuando la Cámara de Representantes reciba una denuncia contra estos funcionario</w:t>
      </w:r>
      <w:r w:rsidR="00CF64E0" w:rsidRPr="00BC3556">
        <w:t xml:space="preserve">s, </w:t>
      </w:r>
      <w:r w:rsidRPr="00BC3556">
        <w:t xml:space="preserve">debe </w:t>
      </w:r>
      <w:r w:rsidR="006B596F" w:rsidRPr="00BC3556">
        <w:t>convocar a</w:t>
      </w:r>
      <w:r w:rsidRPr="00BC3556">
        <w:t>l tribunal</w:t>
      </w:r>
      <w:r w:rsidR="00CF64E0" w:rsidRPr="00BC3556">
        <w:t xml:space="preserve"> que será el encargado de iniciar la actuación,</w:t>
      </w:r>
      <w:r w:rsidR="00C10CEA" w:rsidRPr="00BC3556">
        <w:t xml:space="preserve"> realizar una depuración </w:t>
      </w:r>
      <w:r w:rsidR="00C10CEA" w:rsidRPr="00BC3556">
        <w:lastRenderedPageBreak/>
        <w:t>temprana de las denuncias,</w:t>
      </w:r>
      <w:r w:rsidR="00CF64E0" w:rsidRPr="00BC3556">
        <w:t xml:space="preserve"> investigar y acusarlos ante el Senado</w:t>
      </w:r>
      <w:r w:rsidR="00CE355E" w:rsidRPr="00BC3556">
        <w:t xml:space="preserve"> </w:t>
      </w:r>
      <w:r w:rsidR="007131F4" w:rsidRPr="00BC3556">
        <w:t>quien definirá si se levanta el fuero para efectos penales caso en el cual el asunto seguirá siendo competencia de la CSJ o si decide juzgar y sancionarlo por indignidad</w:t>
      </w:r>
      <w:r w:rsidRPr="00BC3556">
        <w:t>.</w:t>
      </w:r>
      <w:r w:rsidR="0045157F" w:rsidRPr="00BC3556">
        <w:t xml:space="preserve"> </w:t>
      </w:r>
      <w:r w:rsidRPr="00BC3556">
        <w:t>Los magistrados debe</w:t>
      </w:r>
      <w:r w:rsidR="00CE355E" w:rsidRPr="00BC3556">
        <w:t>ría</w:t>
      </w:r>
      <w:r w:rsidRPr="00BC3556">
        <w:t>n ser expertos en derecho penal, pensionados</w:t>
      </w:r>
      <w:r w:rsidR="00CE355E" w:rsidRPr="00BC3556">
        <w:t xml:space="preserve"> y</w:t>
      </w:r>
      <w:r w:rsidRPr="00BC3556">
        <w:t xml:space="preserve"> con excelente reputación</w:t>
      </w:r>
      <w:r w:rsidR="00C10CEA" w:rsidRPr="00BC3556">
        <w:t xml:space="preserve"> personal y profesional</w:t>
      </w:r>
      <w:r w:rsidR="00CE355E" w:rsidRPr="00BC3556">
        <w:t xml:space="preserve">.  El ejercicio del cargo tan solo sería compatible con la </w:t>
      </w:r>
      <w:r w:rsidR="00967735" w:rsidRPr="00BC3556">
        <w:t>docencia</w:t>
      </w:r>
      <w:r w:rsidR="00CE355E" w:rsidRPr="00BC3556">
        <w:t xml:space="preserve"> y se </w:t>
      </w:r>
      <w:r w:rsidR="00C10CEA" w:rsidRPr="00BC3556">
        <w:t xml:space="preserve">ejercería </w:t>
      </w:r>
      <w:r w:rsidR="00CE355E" w:rsidRPr="00BC3556">
        <w:rPr>
          <w:i/>
        </w:rPr>
        <w:t>ad-honorem</w:t>
      </w:r>
      <w:r w:rsidR="00967735" w:rsidRPr="00BC3556">
        <w:rPr>
          <w:i/>
        </w:rPr>
        <w:t xml:space="preserve"> </w:t>
      </w:r>
      <w:r w:rsidR="00967735" w:rsidRPr="00BC3556">
        <w:t>de manera que tanto los designados como la ciudadanía valoren más la posición que las prebendas económicas, máxime teniendo en cuenta que los elegidos tendrían ingresos por cuenta de la pensión de vejez y eventualmente honorarios por docencia.</w:t>
      </w:r>
    </w:p>
    <w:p w14:paraId="13F3903C" w14:textId="77777777" w:rsidR="0009578B" w:rsidRPr="00BC3556" w:rsidRDefault="0009578B" w:rsidP="00C10CEA">
      <w:pPr>
        <w:pStyle w:val="Prrafodelista"/>
        <w:spacing w:line="276" w:lineRule="auto"/>
        <w:rPr>
          <w:lang w:eastAsia="es-CO"/>
        </w:rPr>
      </w:pPr>
    </w:p>
    <w:p w14:paraId="099DD3B3" w14:textId="7AB953E1" w:rsidR="00B450B2" w:rsidRPr="00BC3556" w:rsidRDefault="00CE355E" w:rsidP="00C10CEA">
      <w:pPr>
        <w:pStyle w:val="Prrafodelista"/>
        <w:numPr>
          <w:ilvl w:val="0"/>
          <w:numId w:val="15"/>
        </w:numPr>
        <w:jc w:val="both"/>
      </w:pPr>
      <w:r w:rsidRPr="00BC3556">
        <w:t>Se considera que el concurso público no siempre garantiza el buen criterio de la elección</w:t>
      </w:r>
      <w:r w:rsidR="007131F4" w:rsidRPr="00BC3556">
        <w:rPr>
          <w:rStyle w:val="Refdenotaalpie"/>
        </w:rPr>
        <w:footnoteReference w:id="3"/>
      </w:r>
      <w:r w:rsidRPr="00BC3556">
        <w:t xml:space="preserve"> y dado que se trataría </w:t>
      </w:r>
      <w:r w:rsidR="00864BDF" w:rsidRPr="00BC3556">
        <w:t>del fuero más importante en la estructura del Estado</w:t>
      </w:r>
      <w:r w:rsidRPr="00BC3556">
        <w:t xml:space="preserve">, en </w:t>
      </w:r>
      <w:r w:rsidR="00F60577" w:rsidRPr="00BC3556">
        <w:t xml:space="preserve">su reemplazo se propone que </w:t>
      </w:r>
      <w:r w:rsidR="0040780D" w:rsidRPr="00BC3556">
        <w:t xml:space="preserve">los candidatos a magistrados </w:t>
      </w:r>
      <w:r w:rsidR="00F60577" w:rsidRPr="00BC3556">
        <w:t xml:space="preserve">sean </w:t>
      </w:r>
      <w:r w:rsidR="00B450B2" w:rsidRPr="00BC3556">
        <w:t xml:space="preserve">postulados </w:t>
      </w:r>
      <w:r w:rsidR="0040780D" w:rsidRPr="00BC3556">
        <w:t xml:space="preserve">por la Cámara de Representantes </w:t>
      </w:r>
      <w:r w:rsidR="00B450B2" w:rsidRPr="00BC3556">
        <w:t xml:space="preserve">previo estudio de méritos </w:t>
      </w:r>
      <w:r w:rsidR="0040780D" w:rsidRPr="00BC3556">
        <w:t>y designados por el Senado</w:t>
      </w:r>
      <w:r w:rsidRPr="00BC3556">
        <w:t xml:space="preserve"> para un periodo de 4 años</w:t>
      </w:r>
      <w:r w:rsidR="00967735" w:rsidRPr="00BC3556">
        <w:t>.</w:t>
      </w:r>
      <w:r w:rsidR="0040780D" w:rsidRPr="00BC3556">
        <w:t xml:space="preserve"> </w:t>
      </w:r>
      <w:r w:rsidRPr="00BC3556">
        <w:t xml:space="preserve"> Sería importante prever que tanto la postulación como la elección se lleven a cabo </w:t>
      </w:r>
      <w:r w:rsidR="00B450B2" w:rsidRPr="00BC3556">
        <w:t xml:space="preserve">dentro del primer mes de sesiones del Congreso. </w:t>
      </w:r>
      <w:r w:rsidR="005912E6" w:rsidRPr="00BC3556">
        <w:t xml:space="preserve">El esquema de designación y las normas de funcionamiento </w:t>
      </w:r>
      <w:r w:rsidRPr="00BC3556">
        <w:t xml:space="preserve">serían </w:t>
      </w:r>
      <w:r w:rsidR="005912E6" w:rsidRPr="00BC3556">
        <w:t xml:space="preserve">desarrollados </w:t>
      </w:r>
      <w:r w:rsidRPr="00BC3556">
        <w:t xml:space="preserve">por </w:t>
      </w:r>
      <w:r w:rsidR="005912E6" w:rsidRPr="00BC3556">
        <w:t xml:space="preserve">ley estatutaria y </w:t>
      </w:r>
      <w:r w:rsidRPr="00BC3556">
        <w:t xml:space="preserve">por </w:t>
      </w:r>
      <w:r w:rsidR="005912E6" w:rsidRPr="00BC3556">
        <w:t xml:space="preserve">el </w:t>
      </w:r>
      <w:r w:rsidRPr="00BC3556">
        <w:t xml:space="preserve">propio </w:t>
      </w:r>
      <w:r w:rsidR="005912E6" w:rsidRPr="00BC3556">
        <w:t xml:space="preserve">reglamento </w:t>
      </w:r>
      <w:r w:rsidRPr="00BC3556">
        <w:t>d</w:t>
      </w:r>
      <w:r w:rsidR="005912E6" w:rsidRPr="00BC3556">
        <w:t xml:space="preserve">el Tribunal. </w:t>
      </w:r>
    </w:p>
    <w:p w14:paraId="74A7F664" w14:textId="77777777" w:rsidR="00C10CEA" w:rsidRPr="00BC3556" w:rsidRDefault="00C10CEA" w:rsidP="00C10CEA">
      <w:pPr>
        <w:jc w:val="both"/>
        <w:rPr>
          <w:sz w:val="24"/>
          <w:szCs w:val="24"/>
        </w:rPr>
      </w:pPr>
    </w:p>
    <w:p w14:paraId="6DB5DB38" w14:textId="1729FB35" w:rsidR="00C10CEA" w:rsidRPr="00BC3556" w:rsidRDefault="00C10CEA" w:rsidP="00C10CEA">
      <w:pPr>
        <w:pStyle w:val="Prrafodelista"/>
        <w:numPr>
          <w:ilvl w:val="0"/>
          <w:numId w:val="15"/>
        </w:numPr>
        <w:jc w:val="both"/>
      </w:pPr>
      <w:r w:rsidRPr="00BC3556">
        <w:t xml:space="preserve">Los demás funcionarios que requieren fuero por la dignidad de su cargo, estarán cobijados por la propuesta que se expone en el siguiente punto. </w:t>
      </w:r>
    </w:p>
    <w:p w14:paraId="3D7A92EA" w14:textId="77777777" w:rsidR="00580F0B" w:rsidRPr="00BC3556" w:rsidRDefault="00580F0B" w:rsidP="00C10CEA">
      <w:pPr>
        <w:pStyle w:val="Prrafodelista"/>
        <w:jc w:val="both"/>
        <w:rPr>
          <w:lang w:eastAsia="es-CO"/>
        </w:rPr>
      </w:pPr>
    </w:p>
    <w:p w14:paraId="2BEEC3A1" w14:textId="492BC51C" w:rsidR="00864BDF" w:rsidRPr="00BC3556" w:rsidRDefault="00CE355E" w:rsidP="00802E39">
      <w:pPr>
        <w:pStyle w:val="Ttulo2"/>
        <w:rPr>
          <w:rFonts w:asciiTheme="minorHAnsi" w:eastAsiaTheme="minorEastAsia" w:hAnsiTheme="minorHAnsi" w:cstheme="minorBidi"/>
          <w:bCs w:val="0"/>
          <w:color w:val="auto"/>
          <w:sz w:val="24"/>
          <w:szCs w:val="24"/>
          <w:lang w:val="es-ES"/>
        </w:rPr>
      </w:pPr>
      <w:r w:rsidRPr="00BC3556">
        <w:rPr>
          <w:rFonts w:asciiTheme="minorHAnsi" w:eastAsiaTheme="minorEastAsia" w:hAnsiTheme="minorHAnsi" w:cstheme="minorBidi"/>
          <w:bCs w:val="0"/>
          <w:color w:val="auto"/>
          <w:sz w:val="24"/>
          <w:szCs w:val="24"/>
          <w:lang w:val="es-ES"/>
        </w:rPr>
        <w:t xml:space="preserve">2. </w:t>
      </w:r>
      <w:r w:rsidR="00864BDF" w:rsidRPr="00BC3556">
        <w:rPr>
          <w:rFonts w:asciiTheme="minorHAnsi" w:eastAsiaTheme="minorEastAsia" w:hAnsiTheme="minorHAnsi" w:cstheme="minorBidi"/>
          <w:bCs w:val="0"/>
          <w:color w:val="auto"/>
          <w:sz w:val="24"/>
          <w:szCs w:val="24"/>
          <w:lang w:val="es-ES"/>
        </w:rPr>
        <w:t>Jurisdicción disciplinaria</w:t>
      </w:r>
      <w:r w:rsidR="00967735" w:rsidRPr="00BC3556">
        <w:rPr>
          <w:rFonts w:asciiTheme="minorHAnsi" w:eastAsiaTheme="minorEastAsia" w:hAnsiTheme="minorHAnsi" w:cstheme="minorBidi"/>
          <w:bCs w:val="0"/>
          <w:color w:val="auto"/>
          <w:sz w:val="24"/>
          <w:szCs w:val="24"/>
          <w:lang w:val="es-ES"/>
        </w:rPr>
        <w:t xml:space="preserve"> con funciones fiscales y penales para aforados</w:t>
      </w:r>
    </w:p>
    <w:p w14:paraId="075BFFD5" w14:textId="7DC92307" w:rsidR="00967735" w:rsidRPr="00BC3556" w:rsidRDefault="00351A1B" w:rsidP="00C10CEA">
      <w:pPr>
        <w:pStyle w:val="Prrafodelista"/>
        <w:numPr>
          <w:ilvl w:val="0"/>
          <w:numId w:val="16"/>
        </w:numPr>
        <w:jc w:val="both"/>
      </w:pPr>
      <w:r w:rsidRPr="00BC3556">
        <w:t>En general la CEJ concuerda con la transformación de la autoridad disciplinaria para la rama judicial que actualmente se encuentra a cargo de la Sala Disciplinaria del Consejo Superior de la Judicatura</w:t>
      </w:r>
      <w:r w:rsidR="0055083F">
        <w:t>,</w:t>
      </w:r>
      <w:r w:rsidR="00967735" w:rsidRPr="00BC3556">
        <w:t xml:space="preserve"> </w:t>
      </w:r>
      <w:r w:rsidR="0055083F">
        <w:t>en especial por el origen de su conformación y por las funciones diferentes que actualmente posee como el conocimiento de tutelas y la definición de conflictos de competencia</w:t>
      </w:r>
      <w:r w:rsidRPr="00BC3556">
        <w:t xml:space="preserve">. </w:t>
      </w:r>
      <w:r w:rsidR="00967735" w:rsidRPr="00BC3556">
        <w:t xml:space="preserve"> Esta </w:t>
      </w:r>
      <w:r w:rsidRPr="00BC3556">
        <w:t xml:space="preserve">jurisdicción estaría encargada de investigar y sancionar la conducta de </w:t>
      </w:r>
      <w:r w:rsidR="00864BDF" w:rsidRPr="00BC3556">
        <w:t xml:space="preserve">los funcionarios de la Rama Judicial </w:t>
      </w:r>
      <w:r w:rsidR="00967735" w:rsidRPr="00BC3556">
        <w:t xml:space="preserve">(incluyendo los magistrados de las Altas Cortes) </w:t>
      </w:r>
      <w:r w:rsidR="00864BDF" w:rsidRPr="00BC3556">
        <w:t xml:space="preserve">y </w:t>
      </w:r>
      <w:r w:rsidR="0055083F">
        <w:t xml:space="preserve">el ejercicio de competencia preferente para </w:t>
      </w:r>
      <w:r w:rsidR="00864BDF" w:rsidRPr="00BC3556">
        <w:t>los abogad</w:t>
      </w:r>
      <w:r w:rsidR="00165729" w:rsidRPr="00BC3556">
        <w:t>os en ejercicio de su profesión.</w:t>
      </w:r>
      <w:r w:rsidR="00802E39" w:rsidRPr="00BC3556">
        <w:t xml:space="preserve"> </w:t>
      </w:r>
    </w:p>
    <w:p w14:paraId="6B2CC45E" w14:textId="77777777" w:rsidR="00BC3556" w:rsidRPr="00BC3556" w:rsidRDefault="00BC3556" w:rsidP="00BC3556">
      <w:pPr>
        <w:pStyle w:val="Prrafodelista"/>
        <w:jc w:val="both"/>
      </w:pPr>
    </w:p>
    <w:p w14:paraId="2E425CCD" w14:textId="4DBE6DE1" w:rsidR="0016343F" w:rsidRPr="00BC3556" w:rsidRDefault="00BC3556" w:rsidP="00C10CEA">
      <w:pPr>
        <w:pStyle w:val="Prrafodelista"/>
        <w:numPr>
          <w:ilvl w:val="0"/>
          <w:numId w:val="16"/>
        </w:numPr>
        <w:jc w:val="both"/>
      </w:pPr>
      <w:r w:rsidRPr="00BC3556">
        <w:t xml:space="preserve">Incluir bajo el </w:t>
      </w:r>
      <w:r w:rsidR="00864BDF" w:rsidRPr="00BC3556">
        <w:t>control disciplinario</w:t>
      </w:r>
      <w:r w:rsidRPr="00BC3556">
        <w:t xml:space="preserve"> de esta jurisdicc</w:t>
      </w:r>
      <w:r>
        <w:t>i</w:t>
      </w:r>
      <w:r w:rsidRPr="00BC3556">
        <w:t>ón</w:t>
      </w:r>
      <w:r w:rsidR="00C01606" w:rsidRPr="00BC3556">
        <w:t xml:space="preserve">, además de los funcionarios judiciales, al </w:t>
      </w:r>
      <w:r w:rsidR="00864BDF" w:rsidRPr="00BC3556">
        <w:t>Fiscal General</w:t>
      </w:r>
      <w:r w:rsidR="0016343F" w:rsidRPr="00BC3556">
        <w:t xml:space="preserve">, </w:t>
      </w:r>
      <w:r w:rsidR="00C01606" w:rsidRPr="00BC3556">
        <w:t xml:space="preserve">los magistrados de las altas cortes, </w:t>
      </w:r>
      <w:r w:rsidR="0016343F" w:rsidRPr="00BC3556">
        <w:t xml:space="preserve">al </w:t>
      </w:r>
      <w:r w:rsidR="00864BDF" w:rsidRPr="00BC3556">
        <w:t>Contralor General de la República</w:t>
      </w:r>
      <w:r w:rsidR="0016343F" w:rsidRPr="00BC3556">
        <w:t xml:space="preserve">, al </w:t>
      </w:r>
      <w:r w:rsidR="00864BDF" w:rsidRPr="00BC3556">
        <w:t>Procurador General de la Nación</w:t>
      </w:r>
      <w:r w:rsidR="00165729" w:rsidRPr="00BC3556">
        <w:t>,</w:t>
      </w:r>
      <w:r w:rsidR="0016343F" w:rsidRPr="00BC3556">
        <w:t xml:space="preserve"> al </w:t>
      </w:r>
      <w:r w:rsidR="00864BDF" w:rsidRPr="00BC3556">
        <w:t>Defensor del Pueblo</w:t>
      </w:r>
      <w:r w:rsidR="00897869">
        <w:t>.</w:t>
      </w:r>
      <w:r w:rsidR="00C01606" w:rsidRPr="00BC3556">
        <w:t xml:space="preserve"> </w:t>
      </w:r>
    </w:p>
    <w:p w14:paraId="42EEE98F" w14:textId="77777777" w:rsidR="00C01606" w:rsidRPr="00BC3556" w:rsidRDefault="00C01606" w:rsidP="00C01606">
      <w:pPr>
        <w:pStyle w:val="Prrafodelista"/>
        <w:jc w:val="both"/>
        <w:rPr>
          <w:lang w:eastAsia="es-CO"/>
        </w:rPr>
      </w:pPr>
    </w:p>
    <w:p w14:paraId="6282D88E" w14:textId="7A0A98F3" w:rsidR="00864BDF" w:rsidRPr="00BC3556" w:rsidRDefault="00C01606" w:rsidP="00897869">
      <w:pPr>
        <w:pStyle w:val="Prrafodelista"/>
        <w:numPr>
          <w:ilvl w:val="0"/>
          <w:numId w:val="17"/>
        </w:numPr>
        <w:jc w:val="both"/>
        <w:rPr>
          <w:lang w:eastAsia="es-CO"/>
        </w:rPr>
      </w:pPr>
      <w:r w:rsidRPr="00BC3556">
        <w:rPr>
          <w:lang w:eastAsia="es-CO"/>
        </w:rPr>
        <w:lastRenderedPageBreak/>
        <w:t>En cuanto a</w:t>
      </w:r>
      <w:r w:rsidR="00864BDF" w:rsidRPr="00BC3556">
        <w:rPr>
          <w:lang w:eastAsia="es-CO"/>
        </w:rPr>
        <w:t>l</w:t>
      </w:r>
      <w:r w:rsidRPr="00BC3556">
        <w:rPr>
          <w:lang w:eastAsia="es-CO"/>
        </w:rPr>
        <w:t xml:space="preserve"> control de l</w:t>
      </w:r>
      <w:r w:rsidR="00864BDF" w:rsidRPr="00BC3556">
        <w:rPr>
          <w:lang w:eastAsia="es-CO"/>
        </w:rPr>
        <w:t>os abogados en ejercicio</w:t>
      </w:r>
      <w:r w:rsidR="00936FFD" w:rsidRPr="00BC3556">
        <w:rPr>
          <w:lang w:eastAsia="es-CO"/>
        </w:rPr>
        <w:t>,</w:t>
      </w:r>
      <w:r w:rsidR="00864BDF" w:rsidRPr="00BC3556">
        <w:rPr>
          <w:lang w:eastAsia="es-CO"/>
        </w:rPr>
        <w:t xml:space="preserve"> </w:t>
      </w:r>
      <w:r w:rsidRPr="00BC3556">
        <w:rPr>
          <w:lang w:eastAsia="es-CO"/>
        </w:rPr>
        <w:t xml:space="preserve">para </w:t>
      </w:r>
      <w:r w:rsidR="00864BDF" w:rsidRPr="00BC3556">
        <w:rPr>
          <w:lang w:eastAsia="es-CO"/>
        </w:rPr>
        <w:t xml:space="preserve">la CEJ </w:t>
      </w:r>
      <w:r w:rsidRPr="00BC3556">
        <w:rPr>
          <w:lang w:eastAsia="es-CO"/>
        </w:rPr>
        <w:t xml:space="preserve">la mejor vía es que estos sean organizados en </w:t>
      </w:r>
      <w:r w:rsidR="00864BDF" w:rsidRPr="00BC3556">
        <w:rPr>
          <w:lang w:eastAsia="es-CO"/>
        </w:rPr>
        <w:t>Colegio</w:t>
      </w:r>
      <w:r w:rsidR="00897869">
        <w:rPr>
          <w:lang w:eastAsia="es-CO"/>
        </w:rPr>
        <w:t xml:space="preserve"> (</w:t>
      </w:r>
      <w:r w:rsidR="00864BDF" w:rsidRPr="00BC3556">
        <w:rPr>
          <w:lang w:eastAsia="es-CO"/>
        </w:rPr>
        <w:t>s</w:t>
      </w:r>
      <w:r w:rsidR="00897869">
        <w:rPr>
          <w:lang w:eastAsia="es-CO"/>
        </w:rPr>
        <w:t>)</w:t>
      </w:r>
      <w:r w:rsidR="00864BDF" w:rsidRPr="00BC3556">
        <w:rPr>
          <w:lang w:eastAsia="es-CO"/>
        </w:rPr>
        <w:t xml:space="preserve"> que imponga</w:t>
      </w:r>
      <w:r w:rsidR="00897869">
        <w:rPr>
          <w:lang w:eastAsia="es-CO"/>
        </w:rPr>
        <w:t xml:space="preserve"> (</w:t>
      </w:r>
      <w:r w:rsidR="00864BDF" w:rsidRPr="00BC3556">
        <w:rPr>
          <w:lang w:eastAsia="es-CO"/>
        </w:rPr>
        <w:t>n</w:t>
      </w:r>
      <w:r w:rsidR="00897869">
        <w:rPr>
          <w:lang w:eastAsia="es-CO"/>
        </w:rPr>
        <w:t>)</w:t>
      </w:r>
      <w:r w:rsidR="00864BDF" w:rsidRPr="00BC3556">
        <w:rPr>
          <w:lang w:eastAsia="es-CO"/>
        </w:rPr>
        <w:t xml:space="preserve"> las sanciones disciplinarias </w:t>
      </w:r>
      <w:r w:rsidRPr="00BC3556">
        <w:rPr>
          <w:lang w:eastAsia="es-CO"/>
        </w:rPr>
        <w:t>aunque</w:t>
      </w:r>
      <w:r w:rsidR="00864BDF" w:rsidRPr="00BC3556">
        <w:rPr>
          <w:lang w:eastAsia="es-CO"/>
        </w:rPr>
        <w:t xml:space="preserve">, en todo caso, el Tribunal Disciplinario </w:t>
      </w:r>
      <w:r w:rsidRPr="00BC3556">
        <w:rPr>
          <w:lang w:eastAsia="es-CO"/>
        </w:rPr>
        <w:t xml:space="preserve">mantenga </w:t>
      </w:r>
      <w:r w:rsidR="00864BDF" w:rsidRPr="00BC3556">
        <w:rPr>
          <w:lang w:eastAsia="es-CO"/>
        </w:rPr>
        <w:t>un</w:t>
      </w:r>
      <w:r w:rsidR="00897869">
        <w:rPr>
          <w:lang w:eastAsia="es-CO"/>
        </w:rPr>
        <w:t>a competencia</w:t>
      </w:r>
      <w:r w:rsidR="00864BDF" w:rsidRPr="00BC3556">
        <w:rPr>
          <w:lang w:eastAsia="es-CO"/>
        </w:rPr>
        <w:t xml:space="preserve"> preferente.</w:t>
      </w:r>
    </w:p>
    <w:p w14:paraId="50BAB5F9" w14:textId="77777777" w:rsidR="00C01606" w:rsidRPr="00BC3556" w:rsidRDefault="00C01606" w:rsidP="00C01606">
      <w:pPr>
        <w:pStyle w:val="Prrafodelista"/>
        <w:jc w:val="both"/>
        <w:rPr>
          <w:lang w:eastAsia="es-CO"/>
        </w:rPr>
      </w:pPr>
    </w:p>
    <w:p w14:paraId="65B416DF" w14:textId="5E8D594C" w:rsidR="00A41205" w:rsidRPr="00BC3556" w:rsidRDefault="006A1EDA" w:rsidP="00897869">
      <w:pPr>
        <w:pStyle w:val="Prrafodelista"/>
        <w:numPr>
          <w:ilvl w:val="0"/>
          <w:numId w:val="17"/>
        </w:numPr>
        <w:jc w:val="both"/>
        <w:rPr>
          <w:lang w:eastAsia="es-CO"/>
        </w:rPr>
      </w:pPr>
      <w:r w:rsidRPr="00BC3556">
        <w:rPr>
          <w:lang w:eastAsia="es-CO"/>
        </w:rPr>
        <w:t xml:space="preserve">La CEJ propone que el Tribunal Disciplinario ejerza una competencia específica en materia </w:t>
      </w:r>
      <w:r w:rsidR="00897869">
        <w:rPr>
          <w:lang w:eastAsia="es-CO"/>
        </w:rPr>
        <w:t xml:space="preserve">disciplinaria, fiscal y </w:t>
      </w:r>
      <w:r w:rsidRPr="00BC3556">
        <w:rPr>
          <w:lang w:eastAsia="es-CO"/>
        </w:rPr>
        <w:t>penal para los magistr</w:t>
      </w:r>
      <w:r w:rsidR="00A41205" w:rsidRPr="00BC3556">
        <w:rPr>
          <w:lang w:eastAsia="es-CO"/>
        </w:rPr>
        <w:t>ados de la Corte Constitucional,</w:t>
      </w:r>
      <w:r w:rsidR="00897869">
        <w:rPr>
          <w:lang w:eastAsia="es-CO"/>
        </w:rPr>
        <w:t xml:space="preserve"> del Consejo de Estado y </w:t>
      </w:r>
      <w:r w:rsidRPr="00BC3556">
        <w:rPr>
          <w:lang w:eastAsia="es-CO"/>
        </w:rPr>
        <w:t>de la Corte Suprema de Justicia</w:t>
      </w:r>
      <w:r w:rsidR="00897869">
        <w:rPr>
          <w:lang w:eastAsia="es-CO"/>
        </w:rPr>
        <w:t xml:space="preserve">, del Procurador, del Contralor y </w:t>
      </w:r>
      <w:r w:rsidR="00A41205" w:rsidRPr="00BC3556">
        <w:rPr>
          <w:lang w:eastAsia="es-CO"/>
        </w:rPr>
        <w:t>Defensor.</w:t>
      </w:r>
      <w:r w:rsidRPr="00BC3556">
        <w:rPr>
          <w:lang w:eastAsia="es-CO"/>
        </w:rPr>
        <w:t xml:space="preserve"> </w:t>
      </w:r>
      <w:r w:rsidR="00A41205" w:rsidRPr="00BC3556">
        <w:rPr>
          <w:lang w:eastAsia="es-CO"/>
        </w:rPr>
        <w:t>C</w:t>
      </w:r>
      <w:r w:rsidRPr="00BC3556">
        <w:rPr>
          <w:lang w:eastAsia="es-CO"/>
        </w:rPr>
        <w:t>on esto se sustituye a la Comisión de acusaciones para el caso de las altas cortes</w:t>
      </w:r>
      <w:r w:rsidR="00C41AA6" w:rsidRPr="00BC3556">
        <w:rPr>
          <w:lang w:eastAsia="es-CO"/>
        </w:rPr>
        <w:t xml:space="preserve">, se reduce el número de </w:t>
      </w:r>
      <w:r w:rsidR="00897869">
        <w:rPr>
          <w:lang w:eastAsia="es-CO"/>
        </w:rPr>
        <w:t xml:space="preserve">máximos </w:t>
      </w:r>
      <w:r w:rsidR="00C41AA6" w:rsidRPr="00BC3556">
        <w:rPr>
          <w:lang w:eastAsia="es-CO"/>
        </w:rPr>
        <w:t>aforados,</w:t>
      </w:r>
      <w:r w:rsidRPr="00BC3556">
        <w:rPr>
          <w:lang w:eastAsia="es-CO"/>
        </w:rPr>
        <w:t xml:space="preserve"> y se unifica la autoridad disciplinaria</w:t>
      </w:r>
      <w:r w:rsidR="00897869">
        <w:rPr>
          <w:lang w:eastAsia="es-CO"/>
        </w:rPr>
        <w:t>, fiscal</w:t>
      </w:r>
      <w:r w:rsidRPr="00BC3556">
        <w:rPr>
          <w:lang w:eastAsia="es-CO"/>
        </w:rPr>
        <w:t xml:space="preserve"> y penal para la Rama Judicial</w:t>
      </w:r>
      <w:r w:rsidR="00897869">
        <w:rPr>
          <w:lang w:eastAsia="es-CO"/>
        </w:rPr>
        <w:t>,</w:t>
      </w:r>
      <w:r w:rsidR="00A41205" w:rsidRPr="00BC3556">
        <w:rPr>
          <w:lang w:eastAsia="es-CO"/>
        </w:rPr>
        <w:t xml:space="preserve"> los </w:t>
      </w:r>
      <w:r w:rsidR="00897869">
        <w:rPr>
          <w:lang w:eastAsia="es-CO"/>
        </w:rPr>
        <w:t>órganos</w:t>
      </w:r>
      <w:r w:rsidR="00A41205" w:rsidRPr="00BC3556">
        <w:rPr>
          <w:lang w:eastAsia="es-CO"/>
        </w:rPr>
        <w:t xml:space="preserve"> de control</w:t>
      </w:r>
      <w:r w:rsidR="00897869">
        <w:rPr>
          <w:lang w:eastAsia="es-CO"/>
        </w:rPr>
        <w:t xml:space="preserve"> y electorales</w:t>
      </w:r>
      <w:r w:rsidRPr="00BC3556">
        <w:rPr>
          <w:lang w:eastAsia="es-CO"/>
        </w:rPr>
        <w:t>.</w:t>
      </w:r>
      <w:r w:rsidR="00A41205" w:rsidRPr="00897869">
        <w:rPr>
          <w:vertAlign w:val="superscript"/>
          <w:lang w:eastAsia="es-CO"/>
        </w:rPr>
        <w:footnoteReference w:id="4"/>
      </w:r>
    </w:p>
    <w:p w14:paraId="15270F4C" w14:textId="77777777" w:rsidR="00A41205" w:rsidRPr="00BC3556" w:rsidRDefault="00A41205" w:rsidP="00A41205">
      <w:pPr>
        <w:pStyle w:val="Prrafodelista"/>
        <w:rPr>
          <w:lang w:eastAsia="es-CO"/>
        </w:rPr>
      </w:pPr>
    </w:p>
    <w:p w14:paraId="0930A3F1" w14:textId="77777777" w:rsidR="00897869" w:rsidRDefault="00864BDF" w:rsidP="00897869">
      <w:pPr>
        <w:pStyle w:val="Prrafodelista"/>
        <w:numPr>
          <w:ilvl w:val="0"/>
          <w:numId w:val="17"/>
        </w:numPr>
        <w:jc w:val="both"/>
        <w:rPr>
          <w:lang w:eastAsia="es-CO"/>
        </w:rPr>
      </w:pPr>
      <w:r w:rsidRPr="00BC3556">
        <w:rPr>
          <w:lang w:eastAsia="es-CO"/>
        </w:rPr>
        <w:t>Este Tribunal Disciplinario con funciones</w:t>
      </w:r>
      <w:r w:rsidR="00897869">
        <w:rPr>
          <w:lang w:eastAsia="es-CO"/>
        </w:rPr>
        <w:t xml:space="preserve"> fiscales y</w:t>
      </w:r>
      <w:r w:rsidRPr="00BC3556">
        <w:rPr>
          <w:lang w:eastAsia="es-CO"/>
        </w:rPr>
        <w:t xml:space="preserve"> penales para aforados debería ser elegido por el Pre</w:t>
      </w:r>
      <w:r w:rsidR="006B596F" w:rsidRPr="00BC3556">
        <w:rPr>
          <w:lang w:eastAsia="es-CO"/>
        </w:rPr>
        <w:t xml:space="preserve">sidente </w:t>
      </w:r>
      <w:r w:rsidRPr="00BC3556">
        <w:rPr>
          <w:lang w:eastAsia="es-CO"/>
        </w:rPr>
        <w:t xml:space="preserve">para el primer periodo </w:t>
      </w:r>
      <w:r w:rsidR="006B596F" w:rsidRPr="00BC3556">
        <w:rPr>
          <w:lang w:eastAsia="es-CO"/>
        </w:rPr>
        <w:t xml:space="preserve">y se debe asegurar que su periodo se intercale con el del periodo presidencial.  Posteriormente se propone </w:t>
      </w:r>
      <w:r w:rsidRPr="00BC3556">
        <w:rPr>
          <w:lang w:eastAsia="es-CO"/>
        </w:rPr>
        <w:t>un sistema de cooptación de</w:t>
      </w:r>
      <w:r w:rsidR="006B596F" w:rsidRPr="00BC3556">
        <w:rPr>
          <w:lang w:eastAsia="es-CO"/>
        </w:rPr>
        <w:t>ntro de</w:t>
      </w:r>
      <w:r w:rsidR="00C01606" w:rsidRPr="00BC3556">
        <w:rPr>
          <w:lang w:eastAsia="es-CO"/>
        </w:rPr>
        <w:t xml:space="preserve"> la misma corporación</w:t>
      </w:r>
      <w:r w:rsidR="00802E39" w:rsidRPr="00BC3556">
        <w:rPr>
          <w:lang w:eastAsia="es-CO"/>
        </w:rPr>
        <w:t>,</w:t>
      </w:r>
      <w:r w:rsidR="0062484C" w:rsidRPr="00BC3556">
        <w:rPr>
          <w:lang w:eastAsia="es-CO"/>
        </w:rPr>
        <w:t xml:space="preserve"> como se hizo</w:t>
      </w:r>
      <w:r w:rsidR="00802E39" w:rsidRPr="00BC3556">
        <w:rPr>
          <w:lang w:eastAsia="es-CO"/>
        </w:rPr>
        <w:t xml:space="preserve"> con la elección de la primera Corte C</w:t>
      </w:r>
      <w:r w:rsidR="0062484C" w:rsidRPr="00BC3556">
        <w:rPr>
          <w:lang w:eastAsia="es-CO"/>
        </w:rPr>
        <w:t>onstitucional</w:t>
      </w:r>
      <w:r w:rsidR="00802E39" w:rsidRPr="00BC3556">
        <w:rPr>
          <w:lang w:eastAsia="es-CO"/>
        </w:rPr>
        <w:t>,</w:t>
      </w:r>
      <w:r w:rsidR="00082F9D" w:rsidRPr="00BC3556">
        <w:rPr>
          <w:lang w:eastAsia="es-CO"/>
        </w:rPr>
        <w:t xml:space="preserve"> para tres </w:t>
      </w:r>
      <w:r w:rsidR="00802E39" w:rsidRPr="00BC3556">
        <w:rPr>
          <w:lang w:eastAsia="es-CO"/>
        </w:rPr>
        <w:t xml:space="preserve">de los integrantes del tribunal </w:t>
      </w:r>
      <w:r w:rsidR="00082F9D" w:rsidRPr="00BC3556">
        <w:rPr>
          <w:lang w:eastAsia="es-CO"/>
        </w:rPr>
        <w:t xml:space="preserve">y </w:t>
      </w:r>
      <w:r w:rsidR="00802E39" w:rsidRPr="00BC3556">
        <w:rPr>
          <w:lang w:eastAsia="es-CO"/>
        </w:rPr>
        <w:t xml:space="preserve">que los </w:t>
      </w:r>
      <w:r w:rsidR="00082F9D" w:rsidRPr="00BC3556">
        <w:rPr>
          <w:lang w:eastAsia="es-CO"/>
        </w:rPr>
        <w:t xml:space="preserve">dos </w:t>
      </w:r>
      <w:r w:rsidR="00802E39" w:rsidRPr="00BC3556">
        <w:rPr>
          <w:lang w:eastAsia="es-CO"/>
        </w:rPr>
        <w:t>restantes sigan siendo elegidos por el P</w:t>
      </w:r>
      <w:r w:rsidR="00082F9D" w:rsidRPr="00BC3556">
        <w:rPr>
          <w:lang w:eastAsia="es-CO"/>
        </w:rPr>
        <w:t>residente</w:t>
      </w:r>
      <w:r w:rsidR="00802E39" w:rsidRPr="00BC3556">
        <w:rPr>
          <w:lang w:eastAsia="es-CO"/>
        </w:rPr>
        <w:t xml:space="preserve"> de la República</w:t>
      </w:r>
      <w:r w:rsidR="0062484C" w:rsidRPr="00BC3556">
        <w:rPr>
          <w:lang w:eastAsia="es-CO"/>
        </w:rPr>
        <w:t>.</w:t>
      </w:r>
      <w:r w:rsidR="004C3ABE" w:rsidRPr="00BC3556">
        <w:rPr>
          <w:lang w:eastAsia="es-CO"/>
        </w:rPr>
        <w:t xml:space="preserve"> </w:t>
      </w:r>
    </w:p>
    <w:p w14:paraId="78341C41" w14:textId="77777777" w:rsidR="00897869" w:rsidRDefault="00897869" w:rsidP="00897869">
      <w:pPr>
        <w:jc w:val="both"/>
      </w:pPr>
    </w:p>
    <w:p w14:paraId="2B19BFFC" w14:textId="2A0E0DCC" w:rsidR="00864BDF" w:rsidRPr="00BC3556" w:rsidRDefault="008271A6" w:rsidP="00897869">
      <w:pPr>
        <w:pStyle w:val="Prrafodelista"/>
        <w:numPr>
          <w:ilvl w:val="0"/>
          <w:numId w:val="17"/>
        </w:numPr>
        <w:jc w:val="both"/>
        <w:rPr>
          <w:lang w:eastAsia="es-CO"/>
        </w:rPr>
      </w:pPr>
      <w:r w:rsidRPr="00BC3556">
        <w:rPr>
          <w:lang w:eastAsia="es-CO"/>
        </w:rPr>
        <w:t>Cualquiera sea la fórmula que se apruebe, se sugiere establecer mediante ley estatutaria, una m</w:t>
      </w:r>
      <w:r w:rsidR="004C3ABE" w:rsidRPr="00BC3556">
        <w:rPr>
          <w:lang w:eastAsia="es-CO"/>
        </w:rPr>
        <w:t xml:space="preserve">edida de descongestión </w:t>
      </w:r>
      <w:r w:rsidR="00CB4163" w:rsidRPr="00BC3556">
        <w:rPr>
          <w:lang w:eastAsia="es-CO"/>
        </w:rPr>
        <w:t xml:space="preserve">para </w:t>
      </w:r>
      <w:r w:rsidR="004C3ABE" w:rsidRPr="00BC3556">
        <w:rPr>
          <w:lang w:eastAsia="es-CO"/>
        </w:rPr>
        <w:t>depurar l</w:t>
      </w:r>
      <w:r w:rsidRPr="00BC3556">
        <w:rPr>
          <w:lang w:eastAsia="es-CO"/>
        </w:rPr>
        <w:t>a carga actual de la comisión de acusaciones</w:t>
      </w:r>
      <w:r w:rsidR="00897869">
        <w:rPr>
          <w:lang w:eastAsia="es-CO"/>
        </w:rPr>
        <w:t>, medida que no debería implicar la creación de nuevos magistrados</w:t>
      </w:r>
      <w:r w:rsidR="004C3ABE" w:rsidRPr="00BC3556">
        <w:rPr>
          <w:lang w:eastAsia="es-CO"/>
        </w:rPr>
        <w:t>.</w:t>
      </w:r>
    </w:p>
    <w:p w14:paraId="15E6F347" w14:textId="77777777" w:rsidR="00C01606" w:rsidRPr="00BC3556" w:rsidRDefault="00C01606" w:rsidP="00C01606">
      <w:pPr>
        <w:pStyle w:val="Prrafodelista"/>
        <w:jc w:val="both"/>
        <w:rPr>
          <w:lang w:eastAsia="es-CO"/>
        </w:rPr>
      </w:pPr>
    </w:p>
    <w:p w14:paraId="580F9E44" w14:textId="3F2ECC8A" w:rsidR="006B596F" w:rsidRPr="00BC3556" w:rsidRDefault="00864BDF" w:rsidP="00897869">
      <w:pPr>
        <w:pStyle w:val="Prrafodelista"/>
        <w:numPr>
          <w:ilvl w:val="0"/>
          <w:numId w:val="17"/>
        </w:numPr>
        <w:jc w:val="both"/>
        <w:rPr>
          <w:lang w:eastAsia="es-CO"/>
        </w:rPr>
      </w:pPr>
      <w:r w:rsidRPr="00BC3556">
        <w:rPr>
          <w:lang w:eastAsia="es-CO"/>
        </w:rPr>
        <w:t>E</w:t>
      </w:r>
      <w:r w:rsidR="00C01606" w:rsidRPr="00BC3556">
        <w:rPr>
          <w:lang w:eastAsia="es-CO"/>
        </w:rPr>
        <w:t>l control de e</w:t>
      </w:r>
      <w:r w:rsidRPr="00BC3556">
        <w:rPr>
          <w:lang w:eastAsia="es-CO"/>
        </w:rPr>
        <w:t xml:space="preserve">ste tribunal debe provenir de una rama diferente a la judicial. Por esta razón sus miembros deberían estar sometidos al control del Tribunal de </w:t>
      </w:r>
      <w:r w:rsidR="00897869">
        <w:rPr>
          <w:lang w:eastAsia="es-CO"/>
        </w:rPr>
        <w:t xml:space="preserve">Máximos </w:t>
      </w:r>
      <w:r w:rsidRPr="00BC3556">
        <w:rPr>
          <w:lang w:eastAsia="es-CO"/>
        </w:rPr>
        <w:t>Aforad</w:t>
      </w:r>
      <w:r w:rsidR="006B596F" w:rsidRPr="00BC3556">
        <w:rPr>
          <w:lang w:eastAsia="es-CO"/>
        </w:rPr>
        <w:t xml:space="preserve">os.  </w:t>
      </w:r>
    </w:p>
    <w:p w14:paraId="61E68436" w14:textId="77777777" w:rsidR="00C41AA6" w:rsidRPr="00BC3556" w:rsidRDefault="00C41AA6" w:rsidP="00C41AA6">
      <w:pPr>
        <w:pStyle w:val="Prrafodelista"/>
        <w:rPr>
          <w:lang w:eastAsia="es-CO"/>
        </w:rPr>
      </w:pPr>
    </w:p>
    <w:p w14:paraId="4BA3B1BD" w14:textId="71EC6FC1" w:rsidR="00C41AA6" w:rsidRPr="00BC3556" w:rsidRDefault="00C41AA6" w:rsidP="00897869">
      <w:pPr>
        <w:pStyle w:val="Prrafodelista"/>
        <w:numPr>
          <w:ilvl w:val="0"/>
          <w:numId w:val="17"/>
        </w:numPr>
        <w:jc w:val="both"/>
        <w:rPr>
          <w:lang w:eastAsia="es-CO"/>
        </w:rPr>
      </w:pPr>
      <w:r w:rsidRPr="00BC3556">
        <w:rPr>
          <w:lang w:eastAsia="es-CO"/>
        </w:rPr>
        <w:t>En el acto legislativo se debe aclarar que ni el “Tribunal de Aforados” ni el “Tribunal Disciplinario con funciones penales para aforados”</w:t>
      </w:r>
      <w:r w:rsidR="009F2F62" w:rsidRPr="00BC3556">
        <w:rPr>
          <w:lang w:eastAsia="es-CO"/>
        </w:rPr>
        <w:t xml:space="preserve"> son competentes para conocer acciones de tutela. </w:t>
      </w:r>
    </w:p>
    <w:p w14:paraId="6A378EBC" w14:textId="77777777" w:rsidR="00864BDF" w:rsidRPr="00BC3556" w:rsidRDefault="00864BDF" w:rsidP="00864BDF">
      <w:pPr>
        <w:jc w:val="both"/>
        <w:rPr>
          <w:sz w:val="24"/>
          <w:szCs w:val="24"/>
        </w:rPr>
      </w:pPr>
    </w:p>
    <w:p w14:paraId="706BC20C" w14:textId="3347F4E3" w:rsidR="00864BDF" w:rsidRPr="00BC3556" w:rsidRDefault="00CB4163" w:rsidP="00864BDF">
      <w:pPr>
        <w:pStyle w:val="Ttulo2"/>
        <w:rPr>
          <w:rFonts w:asciiTheme="minorHAnsi" w:hAnsiTheme="minorHAnsi"/>
          <w:sz w:val="24"/>
          <w:szCs w:val="24"/>
        </w:rPr>
      </w:pPr>
      <w:r w:rsidRPr="00BC3556">
        <w:rPr>
          <w:rFonts w:asciiTheme="minorHAnsi" w:hAnsiTheme="minorHAnsi"/>
          <w:sz w:val="24"/>
          <w:szCs w:val="24"/>
        </w:rPr>
        <w:lastRenderedPageBreak/>
        <w:t xml:space="preserve">3. </w:t>
      </w:r>
      <w:r w:rsidR="00864BDF" w:rsidRPr="00BC3556">
        <w:rPr>
          <w:rFonts w:asciiTheme="minorHAnsi" w:hAnsiTheme="minorHAnsi"/>
          <w:sz w:val="24"/>
          <w:szCs w:val="24"/>
        </w:rPr>
        <w:t>Sistema de elección para las altas cortes</w:t>
      </w:r>
    </w:p>
    <w:p w14:paraId="0670FB1F" w14:textId="18125853" w:rsidR="00CE6985" w:rsidRPr="00BC3556" w:rsidRDefault="00020403" w:rsidP="00897869">
      <w:pPr>
        <w:pStyle w:val="Prrafodelista"/>
        <w:numPr>
          <w:ilvl w:val="0"/>
          <w:numId w:val="18"/>
        </w:numPr>
        <w:spacing w:line="276" w:lineRule="auto"/>
        <w:jc w:val="both"/>
        <w:rPr>
          <w:lang w:eastAsia="es-CO"/>
        </w:rPr>
      </w:pPr>
      <w:r w:rsidRPr="00BC3556">
        <w:rPr>
          <w:lang w:eastAsia="es-CO"/>
        </w:rPr>
        <w:t>I</w:t>
      </w:r>
      <w:r w:rsidR="006B596F" w:rsidRPr="00BC3556">
        <w:rPr>
          <w:lang w:eastAsia="es-CO"/>
        </w:rPr>
        <w:t xml:space="preserve">ncluir </w:t>
      </w:r>
      <w:r w:rsidR="00864BDF" w:rsidRPr="00BC3556">
        <w:rPr>
          <w:lang w:eastAsia="es-CO"/>
        </w:rPr>
        <w:t xml:space="preserve">un tiempo de experiencia en </w:t>
      </w:r>
      <w:r w:rsidR="0016343F" w:rsidRPr="00BC3556">
        <w:rPr>
          <w:lang w:eastAsia="es-CO"/>
        </w:rPr>
        <w:t xml:space="preserve">el área </w:t>
      </w:r>
      <w:r w:rsidR="006B596F" w:rsidRPr="00BC3556">
        <w:rPr>
          <w:lang w:eastAsia="es-CO"/>
        </w:rPr>
        <w:t xml:space="preserve">en </w:t>
      </w:r>
      <w:r w:rsidR="00864BDF" w:rsidRPr="00BC3556">
        <w:rPr>
          <w:lang w:eastAsia="es-CO"/>
        </w:rPr>
        <w:t xml:space="preserve">que </w:t>
      </w:r>
      <w:r w:rsidR="006B596F" w:rsidRPr="00BC3556">
        <w:rPr>
          <w:lang w:eastAsia="es-CO"/>
        </w:rPr>
        <w:t xml:space="preserve">los magistrados se </w:t>
      </w:r>
      <w:r w:rsidR="00897869">
        <w:rPr>
          <w:lang w:eastAsia="es-CO"/>
        </w:rPr>
        <w:t>vayan a</w:t>
      </w:r>
      <w:r w:rsidR="0016343F" w:rsidRPr="00BC3556">
        <w:rPr>
          <w:lang w:eastAsia="es-CO"/>
        </w:rPr>
        <w:t xml:space="preserve"> desempeñar pues con ello se logra</w:t>
      </w:r>
      <w:r w:rsidRPr="00BC3556">
        <w:rPr>
          <w:lang w:eastAsia="es-CO"/>
        </w:rPr>
        <w:t xml:space="preserve">ría un mínimo de especialidad </w:t>
      </w:r>
      <w:r w:rsidR="0016343F" w:rsidRPr="00BC3556">
        <w:rPr>
          <w:lang w:eastAsia="es-CO"/>
        </w:rPr>
        <w:t xml:space="preserve">y un criterio jurídico mejor formado. </w:t>
      </w:r>
    </w:p>
    <w:p w14:paraId="17EB0032" w14:textId="77777777" w:rsidR="00797AB5" w:rsidRPr="00BC3556" w:rsidRDefault="00797AB5" w:rsidP="00CB4163">
      <w:pPr>
        <w:pStyle w:val="Prrafodelista"/>
        <w:spacing w:line="276" w:lineRule="auto"/>
        <w:jc w:val="both"/>
        <w:rPr>
          <w:lang w:eastAsia="es-CO"/>
        </w:rPr>
      </w:pPr>
    </w:p>
    <w:p w14:paraId="61B695C3" w14:textId="4C34F4C7" w:rsidR="00C01606" w:rsidRPr="00BC3556" w:rsidRDefault="0016343F" w:rsidP="00CB4163">
      <w:pPr>
        <w:pStyle w:val="Prrafodelista"/>
        <w:spacing w:line="276" w:lineRule="auto"/>
        <w:jc w:val="both"/>
        <w:rPr>
          <w:lang w:eastAsia="es-CO"/>
        </w:rPr>
      </w:pPr>
      <w:r w:rsidRPr="00BC3556">
        <w:rPr>
          <w:lang w:eastAsia="es-CO"/>
        </w:rPr>
        <w:t xml:space="preserve">En consecuencia, de los </w:t>
      </w:r>
      <w:r w:rsidR="00864BDF" w:rsidRPr="00BC3556">
        <w:rPr>
          <w:lang w:eastAsia="es-CO"/>
        </w:rPr>
        <w:t xml:space="preserve">20 años </w:t>
      </w:r>
      <w:r w:rsidRPr="00BC3556">
        <w:rPr>
          <w:lang w:eastAsia="es-CO"/>
        </w:rPr>
        <w:t>exigidos</w:t>
      </w:r>
      <w:r w:rsidR="00864BDF" w:rsidRPr="00BC3556">
        <w:rPr>
          <w:lang w:eastAsia="es-CO"/>
        </w:rPr>
        <w:t xml:space="preserve"> </w:t>
      </w:r>
      <w:r w:rsidRPr="00BC3556">
        <w:rPr>
          <w:lang w:eastAsia="es-CO"/>
        </w:rPr>
        <w:t xml:space="preserve">cuando </w:t>
      </w:r>
      <w:r w:rsidR="00864BDF" w:rsidRPr="00BC3556">
        <w:rPr>
          <w:lang w:eastAsia="es-CO"/>
        </w:rPr>
        <w:t xml:space="preserve">menos 10 deberían estar relacionados con la especialidad a la cual </w:t>
      </w:r>
      <w:r w:rsidRPr="00BC3556">
        <w:rPr>
          <w:lang w:eastAsia="es-CO"/>
        </w:rPr>
        <w:t>se aspire</w:t>
      </w:r>
      <w:r w:rsidR="00864BDF" w:rsidRPr="00BC3556">
        <w:rPr>
          <w:lang w:eastAsia="es-CO"/>
        </w:rPr>
        <w:t>.</w:t>
      </w:r>
    </w:p>
    <w:p w14:paraId="269F427F" w14:textId="77777777" w:rsidR="00CB4163" w:rsidRPr="00BC3556" w:rsidRDefault="00CB4163" w:rsidP="00CB4163">
      <w:pPr>
        <w:pStyle w:val="Prrafodelista"/>
        <w:spacing w:line="276" w:lineRule="auto"/>
        <w:jc w:val="both"/>
        <w:rPr>
          <w:lang w:eastAsia="es-CO"/>
        </w:rPr>
      </w:pPr>
    </w:p>
    <w:p w14:paraId="7E5A6982" w14:textId="5EC3CB58" w:rsidR="00DF44EE" w:rsidRPr="00BC3556" w:rsidRDefault="00864BDF" w:rsidP="00897869">
      <w:pPr>
        <w:pStyle w:val="Prrafodelista"/>
        <w:numPr>
          <w:ilvl w:val="0"/>
          <w:numId w:val="18"/>
        </w:numPr>
        <w:jc w:val="both"/>
      </w:pPr>
      <w:r w:rsidRPr="00BC3556">
        <w:t>En general</w:t>
      </w:r>
      <w:r w:rsidR="008A297D" w:rsidRPr="00BC3556">
        <w:t>,</w:t>
      </w:r>
      <w:r w:rsidRPr="00BC3556">
        <w:t xml:space="preserve"> la CEJ considera que es acertado que se mantenga el sistema </w:t>
      </w:r>
      <w:r w:rsidR="006E1BEE" w:rsidRPr="00BC3556">
        <w:t xml:space="preserve">actual </w:t>
      </w:r>
      <w:r w:rsidRPr="00BC3556">
        <w:t>de elección de la Corte Constitucional que tiene origen en el senado</w:t>
      </w:r>
      <w:r w:rsidR="006E1BEE" w:rsidRPr="00BC3556">
        <w:t xml:space="preserve"> por el carácter doble (jurisdiccional y político) de esta Corte</w:t>
      </w:r>
      <w:r w:rsidRPr="00BC3556">
        <w:t>.</w:t>
      </w:r>
      <w:r w:rsidR="00C103EC" w:rsidRPr="00BC3556">
        <w:t xml:space="preserve"> </w:t>
      </w:r>
    </w:p>
    <w:p w14:paraId="6D8EAA78" w14:textId="77777777" w:rsidR="00DF44EE" w:rsidRPr="00BC3556" w:rsidRDefault="00DF44EE" w:rsidP="00DF44EE">
      <w:pPr>
        <w:pStyle w:val="Prrafodelista"/>
        <w:jc w:val="both"/>
        <w:rPr>
          <w:lang w:eastAsia="es-CO"/>
        </w:rPr>
      </w:pPr>
    </w:p>
    <w:p w14:paraId="152E9C62" w14:textId="28B0494A" w:rsidR="00864BDF" w:rsidRPr="00BC3556" w:rsidRDefault="00864BDF" w:rsidP="00897869">
      <w:pPr>
        <w:pStyle w:val="Prrafodelista"/>
        <w:numPr>
          <w:ilvl w:val="0"/>
          <w:numId w:val="19"/>
        </w:numPr>
        <w:jc w:val="both"/>
        <w:rPr>
          <w:lang w:eastAsia="es-CO"/>
        </w:rPr>
      </w:pPr>
      <w:r w:rsidRPr="00BC3556">
        <w:rPr>
          <w:lang w:eastAsia="es-CO"/>
        </w:rPr>
        <w:t xml:space="preserve">Frente a la Corte Suprema y el Consejo de Estado se </w:t>
      </w:r>
      <w:r w:rsidR="00DF44EE" w:rsidRPr="00BC3556">
        <w:rPr>
          <w:lang w:eastAsia="es-CO"/>
        </w:rPr>
        <w:t>considera que l</w:t>
      </w:r>
      <w:r w:rsidRPr="00BC3556">
        <w:rPr>
          <w:lang w:eastAsia="es-CO"/>
        </w:rPr>
        <w:t>a convocatoria pública no asegura la idoneidad y se limita a hacer un llamamiento general a los interesados. La CEJ propone que la ley reglamente la elección remitiéndose al art</w:t>
      </w:r>
      <w:r w:rsidR="00C103EC" w:rsidRPr="00BC3556">
        <w:rPr>
          <w:lang w:eastAsia="es-CO"/>
        </w:rPr>
        <w:t>ículo</w:t>
      </w:r>
      <w:r w:rsidRPr="00BC3556">
        <w:rPr>
          <w:lang w:eastAsia="es-CO"/>
        </w:rPr>
        <w:t xml:space="preserve"> </w:t>
      </w:r>
      <w:r w:rsidR="00CE6985" w:rsidRPr="00BC3556">
        <w:rPr>
          <w:lang w:eastAsia="es-CO"/>
        </w:rPr>
        <w:t>126</w:t>
      </w:r>
      <w:r w:rsidR="006E1BEE" w:rsidRPr="00BC3556">
        <w:rPr>
          <w:lang w:eastAsia="es-CO"/>
        </w:rPr>
        <w:t xml:space="preserve"> </w:t>
      </w:r>
      <w:r w:rsidR="00732A73">
        <w:rPr>
          <w:lang w:eastAsia="es-CO"/>
        </w:rPr>
        <w:t xml:space="preserve">constitucional según la modificación </w:t>
      </w:r>
      <w:r w:rsidR="006E1BEE" w:rsidRPr="00BC3556">
        <w:rPr>
          <w:lang w:eastAsia="es-CO"/>
        </w:rPr>
        <w:t>del proyecto</w:t>
      </w:r>
      <w:r w:rsidR="00732A73">
        <w:rPr>
          <w:lang w:eastAsia="es-CO"/>
        </w:rPr>
        <w:t>,</w:t>
      </w:r>
      <w:r w:rsidR="006E1BEE" w:rsidRPr="00BC3556">
        <w:rPr>
          <w:lang w:eastAsia="es-CO"/>
        </w:rPr>
        <w:t xml:space="preserve"> </w:t>
      </w:r>
      <w:r w:rsidR="00DF44EE" w:rsidRPr="00BC3556">
        <w:rPr>
          <w:lang w:eastAsia="es-CO"/>
        </w:rPr>
        <w:t xml:space="preserve">estableciendo </w:t>
      </w:r>
      <w:r w:rsidR="00C103EC" w:rsidRPr="00BC3556">
        <w:rPr>
          <w:lang w:eastAsia="es-CO"/>
        </w:rPr>
        <w:t xml:space="preserve">la necesidad de </w:t>
      </w:r>
      <w:r w:rsidR="00732A73">
        <w:rPr>
          <w:lang w:eastAsia="es-CO"/>
        </w:rPr>
        <w:t xml:space="preserve">realizar un proceso de selección transparente, de cara al ciudadano, con estricta revisión de antecedentes personales y profesionales de los candidatos </w:t>
      </w:r>
      <w:r w:rsidR="00DF44EE" w:rsidRPr="00BC3556">
        <w:rPr>
          <w:lang w:eastAsia="es-CO"/>
        </w:rPr>
        <w:t xml:space="preserve">e incluyendo </w:t>
      </w:r>
      <w:r w:rsidRPr="00BC3556">
        <w:rPr>
          <w:lang w:eastAsia="es-CO"/>
        </w:rPr>
        <w:t xml:space="preserve">una oportunidad para hacer impugnaciones a </w:t>
      </w:r>
      <w:r w:rsidR="00732A73">
        <w:rPr>
          <w:lang w:eastAsia="es-CO"/>
        </w:rPr>
        <w:t xml:space="preserve">sus </w:t>
      </w:r>
      <w:r w:rsidRPr="00BC3556">
        <w:rPr>
          <w:lang w:eastAsia="es-CO"/>
        </w:rPr>
        <w:t>hojas de vida (en otros países es conocido como sistema de oposición)</w:t>
      </w:r>
      <w:r w:rsidR="00E13524" w:rsidRPr="00BC3556">
        <w:rPr>
          <w:lang w:eastAsia="es-CO"/>
        </w:rPr>
        <w:t xml:space="preserve">. </w:t>
      </w:r>
      <w:r w:rsidR="008A297D" w:rsidRPr="00BC3556">
        <w:rPr>
          <w:lang w:eastAsia="es-CO"/>
        </w:rPr>
        <w:t>Este tema</w:t>
      </w:r>
      <w:r w:rsidR="00FD71A0" w:rsidRPr="00BC3556">
        <w:rPr>
          <w:lang w:eastAsia="es-CO"/>
        </w:rPr>
        <w:t xml:space="preserve"> debería ser desarrollado a nivel de ley estatutaria. </w:t>
      </w:r>
    </w:p>
    <w:p w14:paraId="38320689" w14:textId="77777777" w:rsidR="00C103EC" w:rsidRPr="00BC3556" w:rsidRDefault="00C103EC" w:rsidP="00C103EC">
      <w:pPr>
        <w:pStyle w:val="Prrafodelista"/>
        <w:jc w:val="both"/>
        <w:rPr>
          <w:lang w:eastAsia="es-CO"/>
        </w:rPr>
      </w:pPr>
    </w:p>
    <w:p w14:paraId="723192AE" w14:textId="0BA45B9B" w:rsidR="00DF44EE" w:rsidRPr="00BC3556" w:rsidRDefault="00C103EC" w:rsidP="00732A73">
      <w:pPr>
        <w:pStyle w:val="Prrafodelista"/>
        <w:numPr>
          <w:ilvl w:val="0"/>
          <w:numId w:val="20"/>
        </w:numPr>
        <w:jc w:val="both"/>
        <w:rPr>
          <w:lang w:eastAsia="es-CO"/>
        </w:rPr>
      </w:pPr>
      <w:r w:rsidRPr="00BC3556">
        <w:rPr>
          <w:lang w:eastAsia="es-CO"/>
        </w:rPr>
        <w:t xml:space="preserve">También se propone establecer que el 50% de los miembros de cada corte provenga de </w:t>
      </w:r>
      <w:r w:rsidR="00864BDF" w:rsidRPr="00BC3556">
        <w:rPr>
          <w:lang w:eastAsia="es-CO"/>
        </w:rPr>
        <w:t>la ca</w:t>
      </w:r>
      <w:r w:rsidRPr="00BC3556">
        <w:rPr>
          <w:lang w:eastAsia="es-CO"/>
        </w:rPr>
        <w:t xml:space="preserve">rrera judicial, en tanto que el otro 50% corresponda a </w:t>
      </w:r>
      <w:r w:rsidR="00864BDF" w:rsidRPr="00BC3556">
        <w:rPr>
          <w:lang w:eastAsia="es-CO"/>
        </w:rPr>
        <w:t>candidatos externos</w:t>
      </w:r>
      <w:r w:rsidRPr="00BC3556">
        <w:rPr>
          <w:lang w:eastAsia="es-CO"/>
        </w:rPr>
        <w:t xml:space="preserve"> a la Rama</w:t>
      </w:r>
      <w:r w:rsidR="006E1BEE" w:rsidRPr="00BC3556">
        <w:rPr>
          <w:lang w:eastAsia="es-CO"/>
        </w:rPr>
        <w:t xml:space="preserve"> (ejercicio profesional y academia)</w:t>
      </w:r>
      <w:r w:rsidR="00864BDF" w:rsidRPr="00BC3556">
        <w:rPr>
          <w:lang w:eastAsia="es-CO"/>
        </w:rPr>
        <w:t>. Esto puede ser un verdadero incentivo a los funcionarios de carrera que superen los exámenes de ascenso, mientras que la academia y el litigio externo mantienen una participación importante</w:t>
      </w:r>
      <w:r w:rsidR="00FD71A0" w:rsidRPr="00BC3556">
        <w:rPr>
          <w:lang w:eastAsia="es-CO"/>
        </w:rPr>
        <w:t xml:space="preserve"> que genera</w:t>
      </w:r>
      <w:r w:rsidR="006E1BEE" w:rsidRPr="00BC3556">
        <w:rPr>
          <w:lang w:eastAsia="es-CO"/>
        </w:rPr>
        <w:t xml:space="preserve"> renovación </w:t>
      </w:r>
      <w:r w:rsidR="00732A73">
        <w:rPr>
          <w:lang w:eastAsia="es-CO"/>
        </w:rPr>
        <w:t>en</w:t>
      </w:r>
      <w:r w:rsidR="006E1BEE" w:rsidRPr="00BC3556">
        <w:rPr>
          <w:lang w:eastAsia="es-CO"/>
        </w:rPr>
        <w:t xml:space="preserve"> la jurisprudencia</w:t>
      </w:r>
      <w:r w:rsidR="00864BDF" w:rsidRPr="00BC3556">
        <w:rPr>
          <w:lang w:eastAsia="es-CO"/>
        </w:rPr>
        <w:t xml:space="preserve">. </w:t>
      </w:r>
    </w:p>
    <w:p w14:paraId="72D5000A" w14:textId="77777777" w:rsidR="003C56EB" w:rsidRPr="00BC3556" w:rsidRDefault="003C56EB" w:rsidP="003C56EB">
      <w:pPr>
        <w:pStyle w:val="Prrafodelista"/>
        <w:jc w:val="both"/>
        <w:rPr>
          <w:lang w:eastAsia="es-CO"/>
        </w:rPr>
      </w:pPr>
    </w:p>
    <w:p w14:paraId="706F6FF3" w14:textId="18A975E4" w:rsidR="00864BDF" w:rsidRPr="00BC3556" w:rsidRDefault="00732A73" w:rsidP="00732A73">
      <w:pPr>
        <w:pStyle w:val="Prrafodelista"/>
        <w:numPr>
          <w:ilvl w:val="0"/>
          <w:numId w:val="20"/>
        </w:numPr>
        <w:jc w:val="both"/>
        <w:rPr>
          <w:lang w:eastAsia="es-CO"/>
        </w:rPr>
      </w:pPr>
      <w:r>
        <w:rPr>
          <w:lang w:eastAsia="es-CO"/>
        </w:rPr>
        <w:t xml:space="preserve">La CEJ considera que mantener el periodo de los magistrados en 8 años es apropiado.  La modificación a la edad </w:t>
      </w:r>
      <w:r w:rsidR="003C56EB" w:rsidRPr="00BC3556">
        <w:rPr>
          <w:lang w:eastAsia="es-CO"/>
        </w:rPr>
        <w:t>de retiro forzoso, so</w:t>
      </w:r>
      <w:r w:rsidR="00864BDF" w:rsidRPr="00BC3556">
        <w:rPr>
          <w:lang w:eastAsia="es-CO"/>
        </w:rPr>
        <w:t xml:space="preserve">lo </w:t>
      </w:r>
      <w:r w:rsidR="003C56EB" w:rsidRPr="00BC3556">
        <w:rPr>
          <w:lang w:eastAsia="es-CO"/>
        </w:rPr>
        <w:t>debería ser</w:t>
      </w:r>
      <w:r w:rsidR="00864BDF" w:rsidRPr="00BC3556">
        <w:rPr>
          <w:lang w:eastAsia="es-CO"/>
        </w:rPr>
        <w:t xml:space="preserve"> aplicable a los nuevos magistrados. Igualmente</w:t>
      </w:r>
      <w:r w:rsidR="003C56EB" w:rsidRPr="00BC3556">
        <w:rPr>
          <w:lang w:eastAsia="es-CO"/>
        </w:rPr>
        <w:t>, es importante que se establezca que</w:t>
      </w:r>
      <w:r w:rsidR="00864BDF" w:rsidRPr="00BC3556">
        <w:rPr>
          <w:lang w:eastAsia="es-CO"/>
        </w:rPr>
        <w:t xml:space="preserve"> los candidatos que se presenten debe</w:t>
      </w:r>
      <w:r w:rsidR="003C56EB" w:rsidRPr="00BC3556">
        <w:rPr>
          <w:lang w:eastAsia="es-CO"/>
        </w:rPr>
        <w:t>rán</w:t>
      </w:r>
      <w:r w:rsidR="00864BDF" w:rsidRPr="00BC3556">
        <w:rPr>
          <w:lang w:eastAsia="es-CO"/>
        </w:rPr>
        <w:t xml:space="preserve"> tener la edad </w:t>
      </w:r>
      <w:r>
        <w:rPr>
          <w:lang w:eastAsia="es-CO"/>
        </w:rPr>
        <w:t xml:space="preserve">suficiente </w:t>
      </w:r>
      <w:r w:rsidR="00864BDF" w:rsidRPr="00BC3556">
        <w:rPr>
          <w:lang w:eastAsia="es-CO"/>
        </w:rPr>
        <w:t xml:space="preserve">para </w:t>
      </w:r>
      <w:r>
        <w:rPr>
          <w:lang w:eastAsia="es-CO"/>
        </w:rPr>
        <w:t xml:space="preserve">poder </w:t>
      </w:r>
      <w:r w:rsidR="00864BDF" w:rsidRPr="00BC3556">
        <w:rPr>
          <w:lang w:eastAsia="es-CO"/>
        </w:rPr>
        <w:t xml:space="preserve">cumplir </w:t>
      </w:r>
      <w:r>
        <w:rPr>
          <w:lang w:eastAsia="es-CO"/>
        </w:rPr>
        <w:t>la totalidad de</w:t>
      </w:r>
      <w:r w:rsidR="00864BDF" w:rsidRPr="00BC3556">
        <w:rPr>
          <w:lang w:eastAsia="es-CO"/>
        </w:rPr>
        <w:t>l periodo</w:t>
      </w:r>
      <w:r w:rsidR="00936FFD" w:rsidRPr="00BC3556">
        <w:rPr>
          <w:lang w:eastAsia="es-CO"/>
        </w:rPr>
        <w:t xml:space="preserve"> para el cual s</w:t>
      </w:r>
      <w:r>
        <w:rPr>
          <w:lang w:eastAsia="es-CO"/>
        </w:rPr>
        <w:t xml:space="preserve">ean </w:t>
      </w:r>
      <w:r w:rsidR="00936FFD" w:rsidRPr="00BC3556">
        <w:rPr>
          <w:lang w:eastAsia="es-CO"/>
        </w:rPr>
        <w:t>elegidos</w:t>
      </w:r>
      <w:r>
        <w:rPr>
          <w:lang w:eastAsia="es-CO"/>
        </w:rPr>
        <w:t>, lo cual quiere decir que la edad máxima para su elección sería de 62 años.</w:t>
      </w:r>
    </w:p>
    <w:p w14:paraId="3472A302" w14:textId="77777777" w:rsidR="00E6508A" w:rsidRPr="00BC3556" w:rsidRDefault="00E6508A" w:rsidP="00864BDF">
      <w:pPr>
        <w:jc w:val="both"/>
        <w:rPr>
          <w:sz w:val="24"/>
          <w:szCs w:val="24"/>
        </w:rPr>
      </w:pPr>
    </w:p>
    <w:p w14:paraId="2B1E1906" w14:textId="59A9575C" w:rsidR="00864BDF" w:rsidRPr="00BC3556" w:rsidRDefault="00CB4163" w:rsidP="00864BDF">
      <w:pPr>
        <w:pStyle w:val="Ttulo2"/>
        <w:rPr>
          <w:rFonts w:asciiTheme="minorHAnsi" w:hAnsiTheme="minorHAnsi"/>
          <w:sz w:val="24"/>
          <w:szCs w:val="24"/>
        </w:rPr>
      </w:pPr>
      <w:r w:rsidRPr="00BC3556">
        <w:rPr>
          <w:rFonts w:asciiTheme="minorHAnsi" w:hAnsiTheme="minorHAnsi"/>
          <w:sz w:val="24"/>
          <w:szCs w:val="24"/>
        </w:rPr>
        <w:lastRenderedPageBreak/>
        <w:t xml:space="preserve">4. </w:t>
      </w:r>
      <w:r w:rsidR="00864BDF" w:rsidRPr="00BC3556">
        <w:rPr>
          <w:rFonts w:asciiTheme="minorHAnsi" w:hAnsiTheme="minorHAnsi"/>
          <w:sz w:val="24"/>
          <w:szCs w:val="24"/>
        </w:rPr>
        <w:t>Órgano de gobierno de la Rama Judicial</w:t>
      </w:r>
    </w:p>
    <w:p w14:paraId="494DE115" w14:textId="77777777" w:rsidR="00732A73" w:rsidRDefault="00864BDF" w:rsidP="00864BDF">
      <w:pPr>
        <w:pStyle w:val="Prrafodelista"/>
        <w:numPr>
          <w:ilvl w:val="0"/>
          <w:numId w:val="21"/>
        </w:numPr>
        <w:jc w:val="both"/>
      </w:pPr>
      <w:r w:rsidRPr="00732A73">
        <w:rPr>
          <w:lang w:val="es-ES"/>
        </w:rPr>
        <w:t xml:space="preserve">En general la CEJ no comparte </w:t>
      </w:r>
      <w:r w:rsidR="003C56EB" w:rsidRPr="00732A73">
        <w:rPr>
          <w:lang w:val="es-ES"/>
        </w:rPr>
        <w:t xml:space="preserve">la forma como </w:t>
      </w:r>
      <w:r w:rsidR="00867EA5" w:rsidRPr="00732A73">
        <w:rPr>
          <w:lang w:val="es-ES"/>
        </w:rPr>
        <w:t>fue planteado</w:t>
      </w:r>
      <w:r w:rsidR="003C56EB" w:rsidRPr="00732A73">
        <w:rPr>
          <w:lang w:val="es-ES"/>
        </w:rPr>
        <w:t xml:space="preserve"> </w:t>
      </w:r>
      <w:r w:rsidRPr="00732A73">
        <w:rPr>
          <w:lang w:val="es-ES"/>
        </w:rPr>
        <w:t>el “Sistema Nacional de Gobierno y Administración Judicial</w:t>
      </w:r>
      <w:r w:rsidR="003C56EB" w:rsidRPr="00732A73">
        <w:rPr>
          <w:lang w:val="es-ES"/>
        </w:rPr>
        <w:t>”</w:t>
      </w:r>
      <w:r w:rsidR="00732A73" w:rsidRPr="00732A73">
        <w:rPr>
          <w:lang w:val="es-ES"/>
        </w:rPr>
        <w:t xml:space="preserve">.  Con las </w:t>
      </w:r>
      <w:r w:rsidR="00970778" w:rsidRPr="00732A73">
        <w:rPr>
          <w:lang w:val="es-ES"/>
        </w:rPr>
        <w:t xml:space="preserve">propuestas que </w:t>
      </w:r>
      <w:r w:rsidR="00732A73" w:rsidRPr="00732A73">
        <w:rPr>
          <w:lang w:val="es-ES"/>
        </w:rPr>
        <w:t xml:space="preserve">han estado </w:t>
      </w:r>
      <w:r w:rsidR="00970778" w:rsidRPr="00732A73">
        <w:rPr>
          <w:lang w:val="es-ES"/>
        </w:rPr>
        <w:t xml:space="preserve">sobre el tapete </w:t>
      </w:r>
      <w:r w:rsidR="00732A73" w:rsidRPr="00732A73">
        <w:rPr>
          <w:lang w:val="es-ES"/>
        </w:rPr>
        <w:t xml:space="preserve">no </w:t>
      </w:r>
      <w:r w:rsidR="003C56EB" w:rsidRPr="00732A73">
        <w:rPr>
          <w:lang w:val="es-ES"/>
        </w:rPr>
        <w:t xml:space="preserve">se superan </w:t>
      </w:r>
      <w:r w:rsidR="00732A73" w:rsidRPr="00732A73">
        <w:rPr>
          <w:lang w:val="es-ES"/>
        </w:rPr>
        <w:t xml:space="preserve">todas </w:t>
      </w:r>
      <w:r w:rsidR="003C56EB" w:rsidRPr="00732A73">
        <w:rPr>
          <w:lang w:val="es-ES"/>
        </w:rPr>
        <w:t xml:space="preserve">las </w:t>
      </w:r>
      <w:r w:rsidR="00867EA5" w:rsidRPr="00732A73">
        <w:rPr>
          <w:lang w:val="es-ES"/>
        </w:rPr>
        <w:t>circunstancias</w:t>
      </w:r>
      <w:r w:rsidR="003C56EB" w:rsidRPr="00732A73">
        <w:rPr>
          <w:lang w:val="es-ES"/>
        </w:rPr>
        <w:t xml:space="preserve"> que han dado lugar a criticar </w:t>
      </w:r>
      <w:r w:rsidR="0033579F" w:rsidRPr="00732A73">
        <w:rPr>
          <w:lang w:val="es-ES"/>
        </w:rPr>
        <w:t>a</w:t>
      </w:r>
      <w:r w:rsidR="003C56EB" w:rsidRPr="00732A73">
        <w:rPr>
          <w:lang w:val="es-ES"/>
        </w:rPr>
        <w:t>l Consejo Superior de la Judicatura</w:t>
      </w:r>
      <w:r w:rsidR="00732A73" w:rsidRPr="00732A73">
        <w:rPr>
          <w:lang w:val="es-ES"/>
        </w:rPr>
        <w:t xml:space="preserve">. Las principales quejas sobre el esquema actual son: </w:t>
      </w:r>
      <w:r w:rsidR="00970778" w:rsidRPr="00732A73">
        <w:rPr>
          <w:lang w:val="es-ES"/>
        </w:rPr>
        <w:t xml:space="preserve"> </w:t>
      </w:r>
      <w:r w:rsidR="00732A73" w:rsidRPr="00732A73">
        <w:t>(i) confusión de las funciones de gobierno con las funciones administrativas, (ii) no se establece el perfil técnico que se necesita para gobernar y  administrar  la rama (iii) las cortes y jueces no se sienten representadas en ese órgano de gobierno. (iv) el órgano de gobierno replica funciones asignadas a la direcciónejecutiva  de la administración judicial, (v) no hay una sola vocería de la Rama.</w:t>
      </w:r>
    </w:p>
    <w:p w14:paraId="3F10567A" w14:textId="77777777" w:rsidR="00732A73" w:rsidRDefault="00732A73" w:rsidP="00732A73">
      <w:pPr>
        <w:pStyle w:val="Prrafodelista"/>
        <w:jc w:val="both"/>
      </w:pPr>
    </w:p>
    <w:p w14:paraId="5F3CDB07" w14:textId="2FA88640" w:rsidR="00732A73" w:rsidRPr="00732A73" w:rsidRDefault="00360479" w:rsidP="00864BDF">
      <w:pPr>
        <w:pStyle w:val="Prrafodelista"/>
        <w:numPr>
          <w:ilvl w:val="0"/>
          <w:numId w:val="21"/>
        </w:numPr>
        <w:jc w:val="both"/>
      </w:pPr>
      <w:r w:rsidRPr="00732A73">
        <w:rPr>
          <w:lang w:val="es-ES"/>
        </w:rPr>
        <w:t xml:space="preserve">Los tres niveles de la propuesta </w:t>
      </w:r>
      <w:r w:rsidR="002D1A55">
        <w:rPr>
          <w:lang w:val="es-ES"/>
        </w:rPr>
        <w:t xml:space="preserve">no </w:t>
      </w:r>
      <w:r w:rsidRPr="00732A73">
        <w:rPr>
          <w:lang w:val="es-ES"/>
        </w:rPr>
        <w:t xml:space="preserve">son </w:t>
      </w:r>
      <w:r w:rsidR="00732A73">
        <w:rPr>
          <w:lang w:val="es-ES"/>
        </w:rPr>
        <w:t>técnicos</w:t>
      </w:r>
      <w:r w:rsidRPr="00732A73">
        <w:rPr>
          <w:lang w:val="es-ES"/>
        </w:rPr>
        <w:t>, diluyen responsabilidades, y el esquema promovería que l</w:t>
      </w:r>
      <w:r w:rsidR="00B07C07" w:rsidRPr="00732A73">
        <w:rPr>
          <w:lang w:val="es-ES"/>
        </w:rPr>
        <w:t>a sala de gobierno, en realidad</w:t>
      </w:r>
      <w:r w:rsidRPr="00732A73">
        <w:rPr>
          <w:lang w:val="es-ES"/>
        </w:rPr>
        <w:t xml:space="preserve"> no ejecute el papel para el que se crearía, pues la responsabilidad e información reacerían en la junta ejecutiva. </w:t>
      </w:r>
    </w:p>
    <w:p w14:paraId="196C9AA5" w14:textId="77777777" w:rsidR="00732A73" w:rsidRDefault="00732A73" w:rsidP="00732A73">
      <w:pPr>
        <w:jc w:val="both"/>
      </w:pPr>
    </w:p>
    <w:p w14:paraId="6F33041D" w14:textId="0AB7881E" w:rsidR="002D1A55" w:rsidRDefault="00864BDF" w:rsidP="002D1A55">
      <w:pPr>
        <w:pStyle w:val="Prrafodelista"/>
        <w:numPr>
          <w:ilvl w:val="0"/>
          <w:numId w:val="21"/>
        </w:numPr>
        <w:jc w:val="both"/>
        <w:rPr>
          <w:lang w:eastAsia="es-CO"/>
        </w:rPr>
      </w:pPr>
      <w:r w:rsidRPr="00732A73">
        <w:t xml:space="preserve">La CEJ </w:t>
      </w:r>
      <w:r w:rsidR="00B07C07" w:rsidRPr="00732A73">
        <w:t>considera que el éxito del diseño depende de la separación clara entre las funcion</w:t>
      </w:r>
      <w:r w:rsidR="008C13DB" w:rsidRPr="00732A73">
        <w:t>e</w:t>
      </w:r>
      <w:r w:rsidR="00B07C07" w:rsidRPr="00732A73">
        <w:t>s de gobierno y las de administración</w:t>
      </w:r>
      <w:r w:rsidR="00CB4163" w:rsidRPr="00732A73">
        <w:t>.</w:t>
      </w:r>
      <w:r w:rsidR="002E70B9" w:rsidRPr="00732A73">
        <w:t xml:space="preserve"> </w:t>
      </w:r>
      <w:r w:rsidR="00B07C07" w:rsidRPr="00732A73">
        <w:t xml:space="preserve"> Por esto </w:t>
      </w:r>
      <w:r w:rsidRPr="00732A73">
        <w:t xml:space="preserve">sugiere que en la Constitución debe quedar la descripción general de las competencias de los órganos de gobierno judicial y </w:t>
      </w:r>
      <w:r w:rsidR="002D1A55">
        <w:t xml:space="preserve">señalar que la ley estatutaria desarrollará la estructura que sea requerida para apoyar las funciones de gobierno y para ejercer la función administrativa de la Rama Judicial, conforme a la siguiente propuesta: </w:t>
      </w:r>
    </w:p>
    <w:p w14:paraId="01692A72" w14:textId="77777777" w:rsidR="002D1A55" w:rsidRDefault="002D1A55" w:rsidP="002D1A55">
      <w:pPr>
        <w:jc w:val="both"/>
      </w:pPr>
    </w:p>
    <w:p w14:paraId="316F08F2" w14:textId="0B74BC28" w:rsidR="006E3730" w:rsidRDefault="00360479" w:rsidP="003F063E">
      <w:pPr>
        <w:pStyle w:val="Prrafodelista"/>
        <w:numPr>
          <w:ilvl w:val="0"/>
          <w:numId w:val="25"/>
        </w:numPr>
        <w:jc w:val="both"/>
        <w:rPr>
          <w:lang w:eastAsia="es-CO"/>
        </w:rPr>
      </w:pPr>
      <w:r w:rsidRPr="00BC3556">
        <w:rPr>
          <w:lang w:eastAsia="es-CO"/>
        </w:rPr>
        <w:t>J</w:t>
      </w:r>
      <w:r w:rsidR="005855D4" w:rsidRPr="00BC3556">
        <w:rPr>
          <w:lang w:eastAsia="es-CO"/>
        </w:rPr>
        <w:t xml:space="preserve">unta </w:t>
      </w:r>
      <w:r w:rsidR="00936FFD" w:rsidRPr="00BC3556">
        <w:rPr>
          <w:lang w:eastAsia="es-CO"/>
        </w:rPr>
        <w:t xml:space="preserve">de la Rama Judicial </w:t>
      </w:r>
      <w:r w:rsidR="005855D4" w:rsidRPr="00BC3556">
        <w:rPr>
          <w:lang w:eastAsia="es-CO"/>
        </w:rPr>
        <w:t>(</w:t>
      </w:r>
      <w:r w:rsidR="0040780D" w:rsidRPr="00BC3556">
        <w:rPr>
          <w:lang w:eastAsia="es-CO"/>
        </w:rPr>
        <w:t xml:space="preserve">reemplazaría a la </w:t>
      </w:r>
      <w:r w:rsidR="00267925" w:rsidRPr="00BC3556">
        <w:rPr>
          <w:lang w:eastAsia="es-CO"/>
        </w:rPr>
        <w:t>Sala de gobierno</w:t>
      </w:r>
      <w:r w:rsidR="009F4CD9" w:rsidRPr="00BC3556">
        <w:rPr>
          <w:lang w:eastAsia="es-CO"/>
        </w:rPr>
        <w:t xml:space="preserve"> y a la junta ejecutiva</w:t>
      </w:r>
      <w:r w:rsidR="0040780D" w:rsidRPr="00BC3556">
        <w:rPr>
          <w:lang w:eastAsia="es-CO"/>
        </w:rPr>
        <w:t xml:space="preserve"> que propone la reforma)</w:t>
      </w:r>
      <w:r w:rsidR="00267925" w:rsidRPr="00BC3556">
        <w:rPr>
          <w:lang w:eastAsia="es-CO"/>
        </w:rPr>
        <w:t>, como un órgano</w:t>
      </w:r>
      <w:r w:rsidR="00864BDF" w:rsidRPr="00BC3556">
        <w:rPr>
          <w:lang w:eastAsia="es-CO"/>
        </w:rPr>
        <w:t xml:space="preserve"> </w:t>
      </w:r>
      <w:r w:rsidR="00864BDF" w:rsidRPr="002D1A55">
        <w:rPr>
          <w:b/>
          <w:lang w:eastAsia="es-CO"/>
        </w:rPr>
        <w:t>no permanente</w:t>
      </w:r>
      <w:r w:rsidR="00864BDF" w:rsidRPr="00BC3556">
        <w:rPr>
          <w:lang w:eastAsia="es-CO"/>
        </w:rPr>
        <w:t xml:space="preserve"> </w:t>
      </w:r>
      <w:r w:rsidR="00267925" w:rsidRPr="00BC3556">
        <w:rPr>
          <w:lang w:eastAsia="es-CO"/>
        </w:rPr>
        <w:t>dedicado</w:t>
      </w:r>
      <w:r w:rsidRPr="00BC3556">
        <w:rPr>
          <w:lang w:eastAsia="es-CO"/>
        </w:rPr>
        <w:t xml:space="preserve"> exclusivamente</w:t>
      </w:r>
      <w:r w:rsidR="00267925" w:rsidRPr="00BC3556">
        <w:rPr>
          <w:lang w:eastAsia="es-CO"/>
        </w:rPr>
        <w:t xml:space="preserve"> a las funciones de gobierno. </w:t>
      </w:r>
      <w:r w:rsidR="005855D4" w:rsidRPr="00BC3556">
        <w:rPr>
          <w:lang w:eastAsia="es-CO"/>
        </w:rPr>
        <w:t>En l</w:t>
      </w:r>
      <w:r w:rsidR="00936FFD" w:rsidRPr="00BC3556">
        <w:rPr>
          <w:lang w:eastAsia="es-CO"/>
        </w:rPr>
        <w:t>a composición de este órgano se</w:t>
      </w:r>
      <w:r w:rsidR="00267925" w:rsidRPr="00BC3556">
        <w:rPr>
          <w:lang w:eastAsia="es-CO"/>
        </w:rPr>
        <w:t xml:space="preserve"> debe garantizar la</w:t>
      </w:r>
      <w:r w:rsidR="00864BDF" w:rsidRPr="00BC3556">
        <w:rPr>
          <w:lang w:eastAsia="es-CO"/>
        </w:rPr>
        <w:t xml:space="preserve"> participación de los diferentes sectores de la Rama Judicial </w:t>
      </w:r>
      <w:r w:rsidR="006F23CD" w:rsidRPr="00BC3556">
        <w:rPr>
          <w:lang w:eastAsia="es-CO"/>
        </w:rPr>
        <w:t xml:space="preserve">con lo cual se corregiría la queja de la no representatividad de las diversas jurisdicciones en el gobierno judicial </w:t>
      </w:r>
      <w:r w:rsidR="00864BDF" w:rsidRPr="00BC3556">
        <w:rPr>
          <w:lang w:eastAsia="es-CO"/>
        </w:rPr>
        <w:t xml:space="preserve">y al </w:t>
      </w:r>
      <w:r w:rsidR="002D1A55">
        <w:rPr>
          <w:lang w:eastAsia="es-CO"/>
        </w:rPr>
        <w:t xml:space="preserve">menos en </w:t>
      </w:r>
      <w:r w:rsidR="00864BDF" w:rsidRPr="00BC3556">
        <w:rPr>
          <w:lang w:eastAsia="es-CO"/>
        </w:rPr>
        <w:t xml:space="preserve">una tercera parte </w:t>
      </w:r>
      <w:r w:rsidR="002D1A55">
        <w:rPr>
          <w:lang w:eastAsia="es-CO"/>
        </w:rPr>
        <w:t xml:space="preserve">con técnicos </w:t>
      </w:r>
      <w:r w:rsidR="00787EE4">
        <w:rPr>
          <w:lang w:eastAsia="es-CO"/>
        </w:rPr>
        <w:t xml:space="preserve">de múltiples disciplinas </w:t>
      </w:r>
      <w:r w:rsidR="00787EE4">
        <w:t>(disciplinas afines con el diseño de políticas públicas de administración de justicia, financiero, TIC, u otras indispensables para el buen gobierno de esta Rama del poder público</w:t>
      </w:r>
      <w:r w:rsidR="00787EE4">
        <w:rPr>
          <w:lang w:eastAsia="es-CO"/>
        </w:rPr>
        <w:t>), para un periodo fijo de 4 años</w:t>
      </w:r>
      <w:r w:rsidR="00864BDF" w:rsidRPr="00BC3556">
        <w:rPr>
          <w:lang w:eastAsia="es-CO"/>
        </w:rPr>
        <w:t>.</w:t>
      </w:r>
      <w:r w:rsidR="00B07C07" w:rsidRPr="00BC3556">
        <w:rPr>
          <w:lang w:eastAsia="es-CO"/>
        </w:rPr>
        <w:t xml:space="preserve">  </w:t>
      </w:r>
    </w:p>
    <w:p w14:paraId="7323F2B3" w14:textId="77777777" w:rsidR="00787EE4" w:rsidRDefault="00787EE4" w:rsidP="00787EE4">
      <w:pPr>
        <w:jc w:val="both"/>
      </w:pPr>
    </w:p>
    <w:p w14:paraId="0D5182C4" w14:textId="20D6FC54" w:rsidR="00787EE4" w:rsidRDefault="00787EE4" w:rsidP="00787EE4">
      <w:pPr>
        <w:pStyle w:val="Prrafodelista"/>
        <w:numPr>
          <w:ilvl w:val="0"/>
          <w:numId w:val="24"/>
        </w:numPr>
        <w:jc w:val="both"/>
      </w:pPr>
      <w:r>
        <w:t xml:space="preserve">Los 9 integrantes de esta Junta Directiva serían: Los presidentes de las tres altas cortes, un representante de los magistrados de tribunal, un representante de los jueces, un representante de los empleados y tres técnicos.  Estos tres miembros </w:t>
      </w:r>
      <w:r>
        <w:lastRenderedPageBreak/>
        <w:t>técnicos serán designados por las 5 rectores de las mejores universidades certificadas</w:t>
      </w:r>
      <w:r>
        <w:rPr>
          <w:rStyle w:val="Refdenotaalpie"/>
        </w:rPr>
        <w:footnoteReference w:id="5"/>
      </w:r>
      <w:r>
        <w:t xml:space="preserve"> que tengan facultad de derecho.</w:t>
      </w:r>
    </w:p>
    <w:p w14:paraId="029C8C6A" w14:textId="77777777" w:rsidR="00687458" w:rsidRDefault="00687458" w:rsidP="00687458">
      <w:pPr>
        <w:pStyle w:val="Prrafodelista"/>
        <w:jc w:val="both"/>
      </w:pPr>
    </w:p>
    <w:p w14:paraId="1CF54E33" w14:textId="27E9349D" w:rsidR="00687458" w:rsidRDefault="00687458" w:rsidP="00687458">
      <w:pPr>
        <w:pStyle w:val="Prrafodelista"/>
        <w:jc w:val="both"/>
      </w:pPr>
      <w:r>
        <w:t>A la Junta Directiva asistirán con voz pero sin voto el Fiscal General, el Defensor del Pueblo (en su función de Defensor Público) y los directores de los Institutos Administrativos de la Rama Judicial que cree la ley estatutaria. Podrán ser invitados funcionarios de otras ramas del poder público como el Ministro de Justicia y del Derecho, con el fin de fortalecer la colaboración armónica.</w:t>
      </w:r>
    </w:p>
    <w:p w14:paraId="1C83A75E" w14:textId="77777777" w:rsidR="00787EE4" w:rsidRDefault="00787EE4" w:rsidP="00787EE4">
      <w:pPr>
        <w:pStyle w:val="Prrafodelista"/>
        <w:jc w:val="both"/>
        <w:rPr>
          <w:lang w:eastAsia="es-CO"/>
        </w:rPr>
      </w:pPr>
    </w:p>
    <w:p w14:paraId="515809D1" w14:textId="2D810388" w:rsidR="00B07C07" w:rsidRPr="00BC3556" w:rsidRDefault="00B07C07" w:rsidP="00787EE4">
      <w:pPr>
        <w:pStyle w:val="Prrafodelista"/>
        <w:numPr>
          <w:ilvl w:val="0"/>
          <w:numId w:val="22"/>
        </w:numPr>
        <w:jc w:val="both"/>
        <w:rPr>
          <w:lang w:eastAsia="es-CO"/>
        </w:rPr>
      </w:pPr>
      <w:r w:rsidRPr="00BC3556">
        <w:rPr>
          <w:lang w:eastAsia="es-CO"/>
        </w:rPr>
        <w:t xml:space="preserve">La </w:t>
      </w:r>
      <w:r w:rsidR="00687458">
        <w:rPr>
          <w:lang w:eastAsia="es-CO"/>
        </w:rPr>
        <w:t>J</w:t>
      </w:r>
      <w:r w:rsidR="006E3730" w:rsidRPr="00BC3556">
        <w:rPr>
          <w:lang w:eastAsia="es-CO"/>
        </w:rPr>
        <w:t>unta tendría las siguientes funciones de gobierno</w:t>
      </w:r>
      <w:r w:rsidRPr="00BC3556">
        <w:rPr>
          <w:lang w:eastAsia="es-CO"/>
        </w:rPr>
        <w:t xml:space="preserve">: </w:t>
      </w:r>
      <w:r w:rsidR="006E3730" w:rsidRPr="00BC3556">
        <w:rPr>
          <w:lang w:eastAsia="es-CO"/>
        </w:rPr>
        <w:t xml:space="preserve">establecer lineamientos y aprobar </w:t>
      </w:r>
      <w:r w:rsidRPr="00BC3556">
        <w:rPr>
          <w:lang w:eastAsia="es-CO"/>
        </w:rPr>
        <w:t xml:space="preserve">el plan de desarrollo sectorial, </w:t>
      </w:r>
      <w:r w:rsidR="006E3730" w:rsidRPr="00BC3556">
        <w:rPr>
          <w:lang w:eastAsia="es-CO"/>
        </w:rPr>
        <w:t xml:space="preserve">expedir la </w:t>
      </w:r>
      <w:r w:rsidRPr="00BC3556">
        <w:rPr>
          <w:lang w:eastAsia="es-CO"/>
        </w:rPr>
        <w:t>regulación general del servicio de justicia (incluye</w:t>
      </w:r>
      <w:r w:rsidR="006E3730" w:rsidRPr="00BC3556">
        <w:rPr>
          <w:lang w:eastAsia="es-CO"/>
        </w:rPr>
        <w:t>ndo</w:t>
      </w:r>
      <w:r w:rsidRPr="00BC3556">
        <w:rPr>
          <w:lang w:eastAsia="es-CO"/>
        </w:rPr>
        <w:t xml:space="preserve"> el establecimiento del mapa</w:t>
      </w:r>
      <w:r w:rsidR="00687458">
        <w:rPr>
          <w:lang w:eastAsia="es-CO"/>
        </w:rPr>
        <w:t xml:space="preserve"> judicial, la carrera judicial y la </w:t>
      </w:r>
      <w:r w:rsidR="006E3730" w:rsidRPr="00BC3556">
        <w:rPr>
          <w:lang w:eastAsia="es-CO"/>
        </w:rPr>
        <w:t xml:space="preserve">regulación de </w:t>
      </w:r>
      <w:r w:rsidRPr="00BC3556">
        <w:rPr>
          <w:lang w:eastAsia="es-CO"/>
        </w:rPr>
        <w:t xml:space="preserve">códigos de procedimiento), nombrar y vigilar los directores de los </w:t>
      </w:r>
      <w:r w:rsidR="00687458">
        <w:rPr>
          <w:lang w:eastAsia="es-CO"/>
        </w:rPr>
        <w:t>instituciones administrativas que integran la rama judicial</w:t>
      </w:r>
      <w:r w:rsidR="006E3730" w:rsidRPr="00BC3556">
        <w:rPr>
          <w:lang w:eastAsia="es-CO"/>
        </w:rPr>
        <w:t xml:space="preserve">, contar con </w:t>
      </w:r>
      <w:r w:rsidRPr="00BC3556">
        <w:rPr>
          <w:lang w:eastAsia="es-CO"/>
        </w:rPr>
        <w:t>iniciativa legislativa en materia de justicia, vigil</w:t>
      </w:r>
      <w:r w:rsidR="00687458">
        <w:rPr>
          <w:lang w:eastAsia="es-CO"/>
        </w:rPr>
        <w:t>ar la productividad judicial y</w:t>
      </w:r>
      <w:r w:rsidR="006E3730" w:rsidRPr="00BC3556">
        <w:rPr>
          <w:lang w:eastAsia="es-CO"/>
        </w:rPr>
        <w:t xml:space="preserve"> defender </w:t>
      </w:r>
      <w:r w:rsidRPr="00BC3556">
        <w:rPr>
          <w:lang w:eastAsia="es-CO"/>
        </w:rPr>
        <w:t>la independencia judi</w:t>
      </w:r>
      <w:r w:rsidR="006E3730" w:rsidRPr="00BC3556">
        <w:rPr>
          <w:lang w:eastAsia="es-CO"/>
        </w:rPr>
        <w:t>cial.  E</w:t>
      </w:r>
      <w:r w:rsidRPr="00BC3556">
        <w:rPr>
          <w:lang w:eastAsia="es-CO"/>
        </w:rPr>
        <w:t xml:space="preserve">l presidente de la junta directiva </w:t>
      </w:r>
      <w:r w:rsidR="006E3730" w:rsidRPr="00BC3556">
        <w:rPr>
          <w:lang w:eastAsia="es-CO"/>
        </w:rPr>
        <w:t xml:space="preserve">sería </w:t>
      </w:r>
      <w:r w:rsidRPr="00BC3556">
        <w:rPr>
          <w:lang w:eastAsia="es-CO"/>
        </w:rPr>
        <w:t>el vocero de la rama judicial.</w:t>
      </w:r>
      <w:r w:rsidR="00687458">
        <w:rPr>
          <w:lang w:eastAsia="es-CO"/>
        </w:rPr>
        <w:t xml:space="preserve"> Finalmente la J</w:t>
      </w:r>
      <w:r w:rsidR="008C13DB" w:rsidRPr="00BC3556">
        <w:rPr>
          <w:lang w:eastAsia="es-CO"/>
        </w:rPr>
        <w:t xml:space="preserve">unta </w:t>
      </w:r>
      <w:r w:rsidR="006E3730" w:rsidRPr="00BC3556">
        <w:rPr>
          <w:lang w:eastAsia="es-CO"/>
        </w:rPr>
        <w:t xml:space="preserve">sería </w:t>
      </w:r>
      <w:r w:rsidR="008C13DB" w:rsidRPr="00BC3556">
        <w:rPr>
          <w:lang w:eastAsia="es-CO"/>
        </w:rPr>
        <w:t>la encargada de dirimi</w:t>
      </w:r>
      <w:r w:rsidR="00687458">
        <w:rPr>
          <w:lang w:eastAsia="es-CO"/>
        </w:rPr>
        <w:t>r los conflictos de competencia</w:t>
      </w:r>
      <w:r w:rsidR="008C13DB" w:rsidRPr="00BC3556">
        <w:rPr>
          <w:lang w:eastAsia="es-CO"/>
        </w:rPr>
        <w:t xml:space="preserve"> que actualmente resuelve el Con</w:t>
      </w:r>
      <w:r w:rsidR="00687458">
        <w:rPr>
          <w:lang w:eastAsia="es-CO"/>
        </w:rPr>
        <w:t xml:space="preserve">sejo Superior de la Judicatura, </w:t>
      </w:r>
      <w:r w:rsidR="00687458">
        <w:t xml:space="preserve">nombrando para ello un tribunal </w:t>
      </w:r>
      <w:r w:rsidR="00687458" w:rsidRPr="00687458">
        <w:rPr>
          <w:i/>
        </w:rPr>
        <w:t>ad-hoc</w:t>
      </w:r>
      <w:r w:rsidR="00687458">
        <w:t xml:space="preserve"> integrado por 3 magistrados (esta propuesta es similar a la de la Comisión Bonivento). </w:t>
      </w:r>
      <w:r w:rsidRPr="00BC3556">
        <w:rPr>
          <w:lang w:eastAsia="es-CO"/>
        </w:rPr>
        <w:t xml:space="preserve"> </w:t>
      </w:r>
    </w:p>
    <w:p w14:paraId="6BE179F9" w14:textId="77777777" w:rsidR="00936FFD" w:rsidRPr="00BC3556" w:rsidRDefault="00936FFD" w:rsidP="00936FFD">
      <w:pPr>
        <w:pStyle w:val="Prrafodelista"/>
        <w:jc w:val="both"/>
        <w:rPr>
          <w:lang w:eastAsia="es-CO"/>
        </w:rPr>
      </w:pPr>
    </w:p>
    <w:p w14:paraId="62C89C6D" w14:textId="4B1247AA" w:rsidR="00067659" w:rsidRPr="00BC3556" w:rsidRDefault="006E3730" w:rsidP="003F063E">
      <w:pPr>
        <w:pStyle w:val="Prrafodelista"/>
        <w:numPr>
          <w:ilvl w:val="0"/>
          <w:numId w:val="25"/>
        </w:numPr>
        <w:jc w:val="both"/>
        <w:rPr>
          <w:lang w:eastAsia="es-CO"/>
        </w:rPr>
      </w:pPr>
      <w:r w:rsidRPr="00BC3556">
        <w:rPr>
          <w:lang w:eastAsia="es-CO"/>
        </w:rPr>
        <w:t xml:space="preserve">Por su parte, la administración de la Rama, según lo desarrolle la </w:t>
      </w:r>
      <w:r w:rsidR="00067659" w:rsidRPr="00BC3556">
        <w:rPr>
          <w:lang w:eastAsia="es-CO"/>
        </w:rPr>
        <w:t>Ley estatutar</w:t>
      </w:r>
      <w:r w:rsidR="00B07C07" w:rsidRPr="00BC3556">
        <w:rPr>
          <w:lang w:eastAsia="es-CO"/>
        </w:rPr>
        <w:t>i</w:t>
      </w:r>
      <w:r w:rsidR="00067659" w:rsidRPr="00BC3556">
        <w:rPr>
          <w:lang w:eastAsia="es-CO"/>
        </w:rPr>
        <w:t>a</w:t>
      </w:r>
      <w:r w:rsidRPr="00BC3556">
        <w:rPr>
          <w:lang w:eastAsia="es-CO"/>
        </w:rPr>
        <w:t>, debería seguir las siguientes líneas</w:t>
      </w:r>
      <w:r w:rsidR="00BA5227" w:rsidRPr="00BC3556">
        <w:rPr>
          <w:lang w:eastAsia="es-CO"/>
        </w:rPr>
        <w:t xml:space="preserve"> de acción</w:t>
      </w:r>
      <w:r w:rsidR="00067659" w:rsidRPr="00BC3556">
        <w:rPr>
          <w:lang w:eastAsia="es-CO"/>
        </w:rPr>
        <w:t xml:space="preserve">: </w:t>
      </w:r>
    </w:p>
    <w:p w14:paraId="0A27866A" w14:textId="77777777" w:rsidR="00B07C07" w:rsidRPr="00BC3556" w:rsidRDefault="00B07C07" w:rsidP="00B07C07">
      <w:pPr>
        <w:jc w:val="both"/>
        <w:rPr>
          <w:sz w:val="24"/>
          <w:szCs w:val="24"/>
          <w:lang w:val="es-ES_tradnl"/>
        </w:rPr>
      </w:pPr>
    </w:p>
    <w:p w14:paraId="15E6ADE1" w14:textId="65B87A36" w:rsidR="00864BDF" w:rsidRPr="00BC3556" w:rsidRDefault="00687458" w:rsidP="00B07C07">
      <w:pPr>
        <w:pStyle w:val="Prrafodelista"/>
        <w:numPr>
          <w:ilvl w:val="1"/>
          <w:numId w:val="13"/>
        </w:numPr>
        <w:jc w:val="both"/>
      </w:pPr>
      <w:r>
        <w:t xml:space="preserve">Incluir una institución </w:t>
      </w:r>
      <w:r w:rsidR="00DF48AE" w:rsidRPr="00BC3556">
        <w:t>de a</w:t>
      </w:r>
      <w:r w:rsidR="00864BDF" w:rsidRPr="00BC3556">
        <w:t xml:space="preserve">dministración </w:t>
      </w:r>
      <w:r w:rsidR="00067659" w:rsidRPr="00BC3556">
        <w:t xml:space="preserve">ejecutiva de la Rama </w:t>
      </w:r>
      <w:r>
        <w:t xml:space="preserve">.  Su Director </w:t>
      </w:r>
      <w:r w:rsidRPr="0016343F">
        <w:t xml:space="preserve"> </w:t>
      </w:r>
      <w:r>
        <w:t xml:space="preserve">además de </w:t>
      </w:r>
      <w:r w:rsidRPr="0016343F">
        <w:t>representa</w:t>
      </w:r>
      <w:r>
        <w:t>r</w:t>
      </w:r>
      <w:r w:rsidRPr="0016343F">
        <w:t xml:space="preserve"> legalmente a la rama judicial y ejecuta</w:t>
      </w:r>
      <w:r>
        <w:t>rá</w:t>
      </w:r>
    </w:p>
    <w:p w14:paraId="441128F6" w14:textId="77777777" w:rsidR="00936FFD" w:rsidRPr="00BC3556" w:rsidRDefault="00936FFD" w:rsidP="00936FFD">
      <w:pPr>
        <w:pStyle w:val="Prrafodelista"/>
        <w:jc w:val="both"/>
      </w:pPr>
    </w:p>
    <w:p w14:paraId="62F6F174" w14:textId="77777777" w:rsidR="00687458" w:rsidRPr="0016343F" w:rsidRDefault="00687458" w:rsidP="00687458">
      <w:pPr>
        <w:pStyle w:val="Prrafodelista"/>
        <w:numPr>
          <w:ilvl w:val="1"/>
          <w:numId w:val="13"/>
        </w:numPr>
        <w:jc w:val="both"/>
      </w:pPr>
      <w:r>
        <w:t xml:space="preserve">Una institución encargada </w:t>
      </w:r>
      <w:r w:rsidRPr="0016343F">
        <w:t>de</w:t>
      </w:r>
      <w:r>
        <w:t xml:space="preserve"> administrar</w:t>
      </w:r>
      <w:r w:rsidRPr="0016343F">
        <w:t xml:space="preserve"> la carrera judicial</w:t>
      </w:r>
      <w:r>
        <w:t xml:space="preserve"> y formar y actualizar jueces y magistrados.</w:t>
      </w:r>
    </w:p>
    <w:p w14:paraId="615D4799" w14:textId="77777777" w:rsidR="00936FFD" w:rsidRPr="00BC3556" w:rsidRDefault="00936FFD" w:rsidP="00936FFD">
      <w:pPr>
        <w:pStyle w:val="Prrafodelista"/>
        <w:jc w:val="both"/>
      </w:pPr>
    </w:p>
    <w:p w14:paraId="75091CDA" w14:textId="3699DE09" w:rsidR="00864BDF" w:rsidRPr="00BC3556" w:rsidRDefault="00067659" w:rsidP="00B07C07">
      <w:pPr>
        <w:pStyle w:val="Prrafodelista"/>
        <w:numPr>
          <w:ilvl w:val="1"/>
          <w:numId w:val="13"/>
        </w:numPr>
        <w:jc w:val="both"/>
      </w:pPr>
      <w:r w:rsidRPr="00BC3556">
        <w:t xml:space="preserve">Un auditor encargado </w:t>
      </w:r>
      <w:r w:rsidR="00864BDF" w:rsidRPr="00BC3556">
        <w:t xml:space="preserve">de </w:t>
      </w:r>
      <w:r w:rsidRPr="00BC3556">
        <w:t xml:space="preserve">la </w:t>
      </w:r>
      <w:r w:rsidR="00864BDF" w:rsidRPr="00BC3556">
        <w:t>vigilancia del servicio de administración de justicia</w:t>
      </w:r>
      <w:r w:rsidR="00723F39" w:rsidRPr="00BC3556">
        <w:t xml:space="preserve"> para garantizar la correcta prestación </w:t>
      </w:r>
      <w:r w:rsidR="00BA5227" w:rsidRPr="00BC3556">
        <w:t>del servicio.</w:t>
      </w:r>
    </w:p>
    <w:p w14:paraId="52909771" w14:textId="77777777" w:rsidR="00936FFD" w:rsidRPr="00BC3556" w:rsidRDefault="00936FFD" w:rsidP="00936FFD">
      <w:pPr>
        <w:pStyle w:val="Prrafodelista"/>
        <w:jc w:val="both"/>
      </w:pPr>
    </w:p>
    <w:p w14:paraId="79A4CE41" w14:textId="47E7D284" w:rsidR="00864BDF" w:rsidRPr="00BC3556" w:rsidRDefault="00864BDF" w:rsidP="00F9758C">
      <w:pPr>
        <w:pStyle w:val="Prrafodelista"/>
        <w:numPr>
          <w:ilvl w:val="1"/>
          <w:numId w:val="13"/>
        </w:numPr>
        <w:jc w:val="both"/>
      </w:pPr>
      <w:r w:rsidRPr="00BC3556">
        <w:t>El Instituto Nacional de Medicina Legal</w:t>
      </w:r>
      <w:r w:rsidR="00687458">
        <w:t xml:space="preserve"> y Ciencias Forenses</w:t>
      </w:r>
      <w:r w:rsidR="00BA5227" w:rsidRPr="00BC3556">
        <w:t>,</w:t>
      </w:r>
      <w:r w:rsidRPr="00BC3556">
        <w:t xml:space="preserve"> </w:t>
      </w:r>
      <w:r w:rsidR="00067659" w:rsidRPr="00BC3556">
        <w:t>que le presta servicios a toda la Rama Judicial</w:t>
      </w:r>
      <w:r w:rsidR="00BA5227" w:rsidRPr="00BC3556">
        <w:t>,</w:t>
      </w:r>
      <w:r w:rsidR="00067659" w:rsidRPr="00BC3556">
        <w:t xml:space="preserve"> </w:t>
      </w:r>
      <w:r w:rsidRPr="00BC3556">
        <w:t>debe</w:t>
      </w:r>
      <w:r w:rsidR="00BA5227" w:rsidRPr="00BC3556">
        <w:t>ría</w:t>
      </w:r>
      <w:r w:rsidRPr="00BC3556">
        <w:t xml:space="preserve"> pasar a ser una entidad adscrita a la Rama Judicial y dejar de pertenecer a la Fiscalía. </w:t>
      </w:r>
    </w:p>
    <w:p w14:paraId="7F2AC74D" w14:textId="77777777" w:rsidR="00687458" w:rsidRDefault="00687458" w:rsidP="00687458">
      <w:pPr>
        <w:pStyle w:val="Prrafodelista"/>
        <w:jc w:val="both"/>
      </w:pPr>
    </w:p>
    <w:p w14:paraId="15D7497C" w14:textId="7C51843B" w:rsidR="00687458" w:rsidRDefault="00687458" w:rsidP="003F063E">
      <w:pPr>
        <w:pStyle w:val="Prrafodelista"/>
        <w:numPr>
          <w:ilvl w:val="0"/>
          <w:numId w:val="25"/>
        </w:numPr>
        <w:jc w:val="both"/>
      </w:pPr>
      <w:r>
        <w:lastRenderedPageBreak/>
        <w:t xml:space="preserve">El perfil de los directores de estos institutos debe corresponder a las labores que debe desempeñar, se privilegiará la experiencia específica relacionada y deberá contar con título profesional y maestría relacionada con las funciones del cargo. </w:t>
      </w:r>
    </w:p>
    <w:p w14:paraId="13B73E5E" w14:textId="77777777" w:rsidR="003C7572" w:rsidRDefault="003C7572" w:rsidP="003C7572">
      <w:pPr>
        <w:jc w:val="both"/>
        <w:rPr>
          <w:sz w:val="24"/>
          <w:szCs w:val="24"/>
        </w:rPr>
      </w:pPr>
    </w:p>
    <w:p w14:paraId="5E4ACE42" w14:textId="76D79982" w:rsidR="00687458" w:rsidRPr="00687458" w:rsidRDefault="00687458" w:rsidP="00687458">
      <w:pPr>
        <w:pStyle w:val="Ttulo2"/>
        <w:rPr>
          <w:rFonts w:asciiTheme="minorHAnsi" w:hAnsiTheme="minorHAnsi"/>
          <w:sz w:val="24"/>
          <w:szCs w:val="24"/>
        </w:rPr>
      </w:pPr>
      <w:r w:rsidRPr="00687458">
        <w:rPr>
          <w:rFonts w:asciiTheme="minorHAnsi" w:hAnsiTheme="minorHAnsi"/>
          <w:sz w:val="24"/>
          <w:szCs w:val="24"/>
        </w:rPr>
        <w:t>5. Otros</w:t>
      </w:r>
    </w:p>
    <w:p w14:paraId="2BAA319E" w14:textId="3DFCAE0B" w:rsidR="00F669DE" w:rsidRDefault="00687458" w:rsidP="00687458">
      <w:pPr>
        <w:pStyle w:val="Prrafodelista"/>
        <w:numPr>
          <w:ilvl w:val="0"/>
          <w:numId w:val="22"/>
        </w:numPr>
        <w:jc w:val="both"/>
      </w:pPr>
      <w:r>
        <w:t>La reforma debe prever que los periodos de los magistrados de las Altas Cortes, son los únicos que cuentan con periodos personales. Otros, como Fiscal, Procurador, Defensor y Contralor, cuentan con periodo institucional, porque sus periodos están atados a los del Presidente y el Congreso.</w:t>
      </w:r>
    </w:p>
    <w:p w14:paraId="21ADC3EC" w14:textId="77777777" w:rsidR="00687458" w:rsidRDefault="00687458" w:rsidP="00687458">
      <w:pPr>
        <w:jc w:val="both"/>
      </w:pPr>
    </w:p>
    <w:p w14:paraId="0BC25DFB" w14:textId="25EC78A1" w:rsidR="00687458" w:rsidRPr="00687458" w:rsidRDefault="00687458" w:rsidP="00687458">
      <w:pPr>
        <w:pStyle w:val="Prrafodelista"/>
        <w:numPr>
          <w:ilvl w:val="0"/>
          <w:numId w:val="22"/>
        </w:numPr>
        <w:jc w:val="both"/>
      </w:pPr>
      <w:r>
        <w:t>Es necesario que se prevean reglas para el periodo de transición una vez sea aprobada la reforma.</w:t>
      </w:r>
    </w:p>
    <w:sectPr w:rsidR="00687458" w:rsidRPr="00687458" w:rsidSect="00F669D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0B13" w14:textId="77777777" w:rsidR="00A11E8B" w:rsidRDefault="00A11E8B" w:rsidP="006F47E3">
      <w:pPr>
        <w:spacing w:after="0" w:line="240" w:lineRule="auto"/>
      </w:pPr>
      <w:r>
        <w:separator/>
      </w:r>
    </w:p>
  </w:endnote>
  <w:endnote w:type="continuationSeparator" w:id="0">
    <w:p w14:paraId="05AECB99" w14:textId="77777777" w:rsidR="00A11E8B" w:rsidRDefault="00A11E8B" w:rsidP="006F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Light">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55A5" w14:textId="77777777" w:rsidR="00787EE4" w:rsidRDefault="00787E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A7CE" w14:textId="77777777" w:rsidR="00787EE4" w:rsidRDefault="00787EE4" w:rsidP="00BC7B1F">
    <w:pPr>
      <w:pStyle w:val="Piedepgina"/>
      <w:tabs>
        <w:tab w:val="clear" w:pos="4419"/>
        <w:tab w:val="clear" w:pos="8838"/>
        <w:tab w:val="left" w:pos="6090"/>
      </w:tabs>
    </w:pPr>
    <w:r>
      <w:rPr>
        <w:noProof/>
        <w:lang w:val="es-ES" w:eastAsia="es-ES"/>
      </w:rPr>
      <w:drawing>
        <wp:anchor distT="0" distB="0" distL="114300" distR="114300" simplePos="0" relativeHeight="251660288" behindDoc="1" locked="0" layoutInCell="1" allowOverlap="1" wp14:anchorId="2FEBB370" wp14:editId="004FA543">
          <wp:simplePos x="0" y="0"/>
          <wp:positionH relativeFrom="column">
            <wp:posOffset>650983</wp:posOffset>
          </wp:positionH>
          <wp:positionV relativeFrom="paragraph">
            <wp:posOffset>-79996</wp:posOffset>
          </wp:positionV>
          <wp:extent cx="5622993" cy="214008"/>
          <wp:effectExtent l="19050" t="0" r="0" b="0"/>
          <wp:wrapNone/>
          <wp:docPr id="3" name="2 Imagen" descr="membrete final 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final dir.jpg"/>
                  <pic:cNvPicPr/>
                </pic:nvPicPr>
                <pic:blipFill>
                  <a:blip r:embed="rId1"/>
                  <a:stretch>
                    <a:fillRect/>
                  </a:stretch>
                </pic:blipFill>
                <pic:spPr>
                  <a:xfrm>
                    <a:off x="0" y="0"/>
                    <a:ext cx="5622993" cy="214008"/>
                  </a:xfrm>
                  <a:prstGeom prst="rect">
                    <a:avLst/>
                  </a:prstGeom>
                </pic:spPr>
              </pic:pic>
            </a:graphicData>
          </a:graphic>
        </wp:anchor>
      </w:drawing>
    </w:r>
    <w:r>
      <w:rPr>
        <w:noProof/>
        <w:lang w:val="es-ES" w:eastAsia="es-ES"/>
      </w:rPr>
      <w:drawing>
        <wp:anchor distT="0" distB="0" distL="114300" distR="114300" simplePos="0" relativeHeight="251659264" behindDoc="1" locked="0" layoutInCell="1" allowOverlap="1" wp14:anchorId="0A839917" wp14:editId="7594BF1A">
          <wp:simplePos x="0" y="0"/>
          <wp:positionH relativeFrom="column">
            <wp:posOffset>-451485</wp:posOffset>
          </wp:positionH>
          <wp:positionV relativeFrom="paragraph">
            <wp:posOffset>-294005</wp:posOffset>
          </wp:positionV>
          <wp:extent cx="793115" cy="571500"/>
          <wp:effectExtent l="19050" t="0" r="6985" b="0"/>
          <wp:wrapNone/>
          <wp:docPr id="7" name="2 Imagen" descr="membrete final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final 02.png"/>
                  <pic:cNvPicPr/>
                </pic:nvPicPr>
                <pic:blipFill>
                  <a:blip r:embed="rId2"/>
                  <a:stretch>
                    <a:fillRect/>
                  </a:stretch>
                </pic:blipFill>
                <pic:spPr>
                  <a:xfrm>
                    <a:off x="0" y="0"/>
                    <a:ext cx="793115" cy="571500"/>
                  </a:xfrm>
                  <a:prstGeom prst="rect">
                    <a:avLst/>
                  </a:prstGeom>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C5DE" w14:textId="77777777" w:rsidR="00787EE4" w:rsidRDefault="00787E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F4EB" w14:textId="77777777" w:rsidR="00A11E8B" w:rsidRDefault="00A11E8B" w:rsidP="006F47E3">
      <w:pPr>
        <w:spacing w:after="0" w:line="240" w:lineRule="auto"/>
      </w:pPr>
      <w:r>
        <w:separator/>
      </w:r>
    </w:p>
  </w:footnote>
  <w:footnote w:type="continuationSeparator" w:id="0">
    <w:p w14:paraId="5C3FBF30" w14:textId="77777777" w:rsidR="00A11E8B" w:rsidRDefault="00A11E8B" w:rsidP="006F47E3">
      <w:pPr>
        <w:spacing w:after="0" w:line="240" w:lineRule="auto"/>
      </w:pPr>
      <w:r>
        <w:continuationSeparator/>
      </w:r>
    </w:p>
  </w:footnote>
  <w:footnote w:id="1">
    <w:p w14:paraId="7D3582E2" w14:textId="75377A68" w:rsidR="00787EE4" w:rsidRPr="00564A41" w:rsidRDefault="00787EE4" w:rsidP="00564A41">
      <w:pPr>
        <w:spacing w:line="240" w:lineRule="auto"/>
        <w:jc w:val="both"/>
        <w:rPr>
          <w:rFonts w:ascii="Avenir Light" w:hAnsi="Avenir Light"/>
          <w:sz w:val="20"/>
          <w:szCs w:val="20"/>
        </w:rPr>
      </w:pPr>
      <w:r w:rsidRPr="00564A41">
        <w:rPr>
          <w:rFonts w:ascii="Avenir Light" w:hAnsi="Avenir Light"/>
          <w:sz w:val="20"/>
          <w:szCs w:val="20"/>
        </w:rPr>
        <w:footnoteRef/>
      </w:r>
      <w:r w:rsidRPr="00564A41">
        <w:rPr>
          <w:rFonts w:ascii="Avenir Light" w:hAnsi="Avenir Light"/>
          <w:sz w:val="20"/>
          <w:szCs w:val="20"/>
        </w:rPr>
        <w:t xml:space="preserve"> El proyecto de Reforma radicado por el gobierno es el Proyecto de Acto Legislativo No. 018 de 2014 que ha sido modificado de su texto original. El pasado 18 de septiembre de 2014 fue aprobado en primer debate. </w:t>
      </w:r>
    </w:p>
  </w:footnote>
  <w:footnote w:id="2">
    <w:p w14:paraId="138223BB" w14:textId="26142032" w:rsidR="00787EE4" w:rsidRPr="00C10CEA" w:rsidRDefault="00787EE4" w:rsidP="00C10CEA">
      <w:pPr>
        <w:pStyle w:val="Textonotapie"/>
        <w:jc w:val="both"/>
        <w:rPr>
          <w:rFonts w:ascii="Avenir Light" w:hAnsi="Avenir Light"/>
          <w:sz w:val="20"/>
          <w:szCs w:val="20"/>
        </w:rPr>
      </w:pPr>
      <w:r w:rsidRPr="00C10CEA">
        <w:rPr>
          <w:rFonts w:ascii="Avenir Light" w:hAnsi="Avenir Light"/>
          <w:sz w:val="20"/>
          <w:szCs w:val="20"/>
        </w:rPr>
        <w:footnoteRef/>
      </w:r>
      <w:r w:rsidRPr="00C10CEA">
        <w:rPr>
          <w:rFonts w:ascii="Avenir Light" w:hAnsi="Avenir Light"/>
          <w:sz w:val="20"/>
          <w:szCs w:val="20"/>
        </w:rPr>
        <w:t xml:space="preserve"> Se esperaría que la carga de trabajo para la investigación de conductas reprochables cometidas por los altos funcionarios del Estado no genere la necesidad de contar con un Tribunal permanente dedicado exclusivamente a estos asuntos.</w:t>
      </w:r>
    </w:p>
  </w:footnote>
  <w:footnote w:id="3">
    <w:p w14:paraId="32D3D1E7" w14:textId="04B999D4" w:rsidR="00787EE4" w:rsidRPr="007131F4" w:rsidRDefault="00787EE4">
      <w:pPr>
        <w:pStyle w:val="Textonotapie"/>
        <w:rPr>
          <w:lang w:val="es-ES_tradnl"/>
        </w:rPr>
      </w:pPr>
      <w:r w:rsidRPr="00BC3556">
        <w:rPr>
          <w:rFonts w:ascii="Avenir Light" w:hAnsi="Avenir Light"/>
          <w:sz w:val="20"/>
          <w:szCs w:val="20"/>
        </w:rPr>
        <w:footnoteRef/>
      </w:r>
      <w:r w:rsidRPr="00BC3556">
        <w:rPr>
          <w:rFonts w:ascii="Avenir Light" w:hAnsi="Avenir Light"/>
          <w:sz w:val="20"/>
          <w:szCs w:val="20"/>
        </w:rPr>
        <w:t xml:space="preserve"> Pues el concurso público no asegura que los mejores funcionarios se inscriban para la elección.</w:t>
      </w:r>
      <w:r>
        <w:rPr>
          <w:lang w:val="es-ES_tradnl"/>
        </w:rPr>
        <w:t xml:space="preserve"> </w:t>
      </w:r>
    </w:p>
  </w:footnote>
  <w:footnote w:id="4">
    <w:p w14:paraId="13480473" w14:textId="78A1BBC7" w:rsidR="00787EE4" w:rsidRPr="00A41205" w:rsidRDefault="00787EE4">
      <w:pPr>
        <w:pStyle w:val="Textonotapie"/>
        <w:rPr>
          <w:sz w:val="20"/>
          <w:szCs w:val="20"/>
        </w:rPr>
      </w:pPr>
      <w:r w:rsidRPr="00A41205">
        <w:rPr>
          <w:rStyle w:val="Refdenotaalpie"/>
          <w:sz w:val="20"/>
          <w:szCs w:val="20"/>
        </w:rPr>
        <w:footnoteRef/>
      </w:r>
      <w:r w:rsidRPr="00A41205">
        <w:rPr>
          <w:sz w:val="20"/>
          <w:szCs w:val="20"/>
        </w:rPr>
        <w:t xml:space="preserve"> Actualmente las altas cortes son investigadas por la Comisión de Acusaciones y juzgadas por el Senado. El Procurador, el Defensor</w:t>
      </w:r>
      <w:r>
        <w:rPr>
          <w:sz w:val="20"/>
          <w:szCs w:val="20"/>
        </w:rPr>
        <w:t xml:space="preserve"> y el Contralor</w:t>
      </w:r>
      <w:r w:rsidRPr="00A41205">
        <w:rPr>
          <w:sz w:val="20"/>
          <w:szCs w:val="20"/>
        </w:rPr>
        <w:t xml:space="preserve"> son investigados por el Fiscal General y son juzgados por la Corte Suprema de Justicia.</w:t>
      </w:r>
    </w:p>
  </w:footnote>
  <w:footnote w:id="5">
    <w:p w14:paraId="4A0365BE" w14:textId="6174CBCC" w:rsidR="00787EE4" w:rsidRPr="00787EE4" w:rsidRDefault="00787EE4">
      <w:pPr>
        <w:pStyle w:val="Textonotapie"/>
        <w:rPr>
          <w:lang w:val="es-ES_tradnl"/>
        </w:rPr>
      </w:pPr>
      <w:r>
        <w:rPr>
          <w:rStyle w:val="Refdenotaalpie"/>
        </w:rPr>
        <w:footnoteRef/>
      </w:r>
      <w:r>
        <w:t xml:space="preserve"> </w:t>
      </w:r>
      <w:r>
        <w:rPr>
          <w:lang w:val="es-ES_tradnl"/>
        </w:rPr>
        <w:t>De acuerdo con el sistema de calificación del ICFES.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9FB6" w14:textId="77777777" w:rsidR="00787EE4" w:rsidRDefault="00787E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69D8" w14:textId="77777777" w:rsidR="00787EE4" w:rsidRDefault="00787EE4" w:rsidP="00511EC2">
    <w:pPr>
      <w:pStyle w:val="Encabezado"/>
      <w:tabs>
        <w:tab w:val="clear" w:pos="4419"/>
        <w:tab w:val="clear" w:pos="8838"/>
        <w:tab w:val="left" w:pos="2362"/>
      </w:tabs>
    </w:pPr>
    <w:r>
      <w:br/>
    </w:r>
    <w:r>
      <w:br/>
    </w:r>
    <w:r>
      <w:br/>
    </w:r>
    <w:r>
      <w:br/>
    </w:r>
    <w:r>
      <w:rPr>
        <w:noProof/>
        <w:lang w:val="es-ES" w:eastAsia="es-ES"/>
      </w:rPr>
      <w:drawing>
        <wp:anchor distT="0" distB="0" distL="114300" distR="114300" simplePos="0" relativeHeight="251658240" behindDoc="1" locked="0" layoutInCell="1" allowOverlap="1" wp14:anchorId="7A103063" wp14:editId="5A1D44F8">
          <wp:simplePos x="0" y="0"/>
          <wp:positionH relativeFrom="column">
            <wp:posOffset>-908685</wp:posOffset>
          </wp:positionH>
          <wp:positionV relativeFrom="paragraph">
            <wp:posOffset>-220980</wp:posOffset>
          </wp:positionV>
          <wp:extent cx="7429500" cy="1009650"/>
          <wp:effectExtent l="19050" t="0" r="0" b="0"/>
          <wp:wrapNone/>
          <wp:docPr id="1" name="0 Imagen" descr="membrete final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final 01.png"/>
                  <pic:cNvPicPr/>
                </pic:nvPicPr>
                <pic:blipFill>
                  <a:blip r:embed="rId1"/>
                  <a:stretch>
                    <a:fillRect/>
                  </a:stretch>
                </pic:blipFill>
                <pic:spPr>
                  <a:xfrm>
                    <a:off x="0" y="0"/>
                    <a:ext cx="7429500" cy="1009650"/>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EB6E" w14:textId="77777777" w:rsidR="00787EE4" w:rsidRDefault="00787E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6BD"/>
    <w:multiLevelType w:val="hybridMultilevel"/>
    <w:tmpl w:val="C5CA58C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C280294"/>
    <w:multiLevelType w:val="hybridMultilevel"/>
    <w:tmpl w:val="2D5C98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FB5E15"/>
    <w:multiLevelType w:val="hybridMultilevel"/>
    <w:tmpl w:val="1A3CE9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F16371"/>
    <w:multiLevelType w:val="hybridMultilevel"/>
    <w:tmpl w:val="5E2AC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C16E81"/>
    <w:multiLevelType w:val="hybridMultilevel"/>
    <w:tmpl w:val="5756D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AB1696"/>
    <w:multiLevelType w:val="hybridMultilevel"/>
    <w:tmpl w:val="695422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DB3F99"/>
    <w:multiLevelType w:val="hybridMultilevel"/>
    <w:tmpl w:val="42646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1A3257"/>
    <w:multiLevelType w:val="hybridMultilevel"/>
    <w:tmpl w:val="CD5271A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BD55D7"/>
    <w:multiLevelType w:val="hybridMultilevel"/>
    <w:tmpl w:val="E6E0BD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5718BA"/>
    <w:multiLevelType w:val="hybridMultilevel"/>
    <w:tmpl w:val="3E12A5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BB4BF9"/>
    <w:multiLevelType w:val="hybridMultilevel"/>
    <w:tmpl w:val="A8AA11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473CB7"/>
    <w:multiLevelType w:val="hybridMultilevel"/>
    <w:tmpl w:val="E7E261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225E6B"/>
    <w:multiLevelType w:val="hybridMultilevel"/>
    <w:tmpl w:val="753622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ED6367"/>
    <w:multiLevelType w:val="hybridMultilevel"/>
    <w:tmpl w:val="8640CC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8114F3"/>
    <w:multiLevelType w:val="hybridMultilevel"/>
    <w:tmpl w:val="A962827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AB64159"/>
    <w:multiLevelType w:val="hybridMultilevel"/>
    <w:tmpl w:val="4FEC9CC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BE5D5F"/>
    <w:multiLevelType w:val="hybridMultilevel"/>
    <w:tmpl w:val="BCACA7B4"/>
    <w:lvl w:ilvl="0" w:tplc="0C0A0003">
      <w:start w:val="1"/>
      <w:numFmt w:val="bullet"/>
      <w:lvlText w:val="o"/>
      <w:lvlJc w:val="left"/>
      <w:pPr>
        <w:ind w:left="773" w:hanging="360"/>
      </w:pPr>
      <w:rPr>
        <w:rFonts w:ascii="Courier New" w:hAnsi="Courier New" w:hint="default"/>
      </w:rPr>
    </w:lvl>
    <w:lvl w:ilvl="1" w:tplc="0C0A0003" w:tentative="1">
      <w:start w:val="1"/>
      <w:numFmt w:val="bullet"/>
      <w:lvlText w:val="o"/>
      <w:lvlJc w:val="left"/>
      <w:pPr>
        <w:ind w:left="1493" w:hanging="360"/>
      </w:pPr>
      <w:rPr>
        <w:rFonts w:ascii="Courier New" w:hAnsi="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17" w15:restartNumberingAfterBreak="0">
    <w:nsid w:val="646E0FA3"/>
    <w:multiLevelType w:val="hybridMultilevel"/>
    <w:tmpl w:val="1DBC02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C30F2A"/>
    <w:multiLevelType w:val="hybridMultilevel"/>
    <w:tmpl w:val="D7626A30"/>
    <w:lvl w:ilvl="0" w:tplc="0C0A000D">
      <w:start w:val="1"/>
      <w:numFmt w:val="bullet"/>
      <w:lvlText w:val=""/>
      <w:lvlJc w:val="left"/>
      <w:pPr>
        <w:ind w:left="773" w:hanging="360"/>
      </w:pPr>
      <w:rPr>
        <w:rFonts w:ascii="Wingdings" w:hAnsi="Wingdings" w:hint="default"/>
      </w:rPr>
    </w:lvl>
    <w:lvl w:ilvl="1" w:tplc="0C0A0003" w:tentative="1">
      <w:start w:val="1"/>
      <w:numFmt w:val="bullet"/>
      <w:lvlText w:val="o"/>
      <w:lvlJc w:val="left"/>
      <w:pPr>
        <w:ind w:left="1493" w:hanging="360"/>
      </w:pPr>
      <w:rPr>
        <w:rFonts w:ascii="Courier New" w:hAnsi="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19" w15:restartNumberingAfterBreak="0">
    <w:nsid w:val="6C967F6D"/>
    <w:multiLevelType w:val="hybridMultilevel"/>
    <w:tmpl w:val="90C2D6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FA60D64"/>
    <w:multiLevelType w:val="hybridMultilevel"/>
    <w:tmpl w:val="CE5052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0B9351B"/>
    <w:multiLevelType w:val="hybridMultilevel"/>
    <w:tmpl w:val="FE84A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FA6947"/>
    <w:multiLevelType w:val="hybridMultilevel"/>
    <w:tmpl w:val="3F7605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AA85EBB"/>
    <w:multiLevelType w:val="hybridMultilevel"/>
    <w:tmpl w:val="9984CF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C5054F3"/>
    <w:multiLevelType w:val="hybridMultilevel"/>
    <w:tmpl w:val="69A0B6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05397145">
    <w:abstractNumId w:val="15"/>
  </w:num>
  <w:num w:numId="2" w16cid:durableId="1271935503">
    <w:abstractNumId w:val="11"/>
  </w:num>
  <w:num w:numId="3" w16cid:durableId="2136211950">
    <w:abstractNumId w:val="4"/>
  </w:num>
  <w:num w:numId="4" w16cid:durableId="1927615858">
    <w:abstractNumId w:val="6"/>
  </w:num>
  <w:num w:numId="5" w16cid:durableId="2036078440">
    <w:abstractNumId w:val="21"/>
  </w:num>
  <w:num w:numId="6" w16cid:durableId="1238055095">
    <w:abstractNumId w:val="3"/>
  </w:num>
  <w:num w:numId="7" w16cid:durableId="1050302392">
    <w:abstractNumId w:val="18"/>
  </w:num>
  <w:num w:numId="8" w16cid:durableId="7172820">
    <w:abstractNumId w:val="16"/>
  </w:num>
  <w:num w:numId="9" w16cid:durableId="1460345637">
    <w:abstractNumId w:val="17"/>
  </w:num>
  <w:num w:numId="10" w16cid:durableId="391317009">
    <w:abstractNumId w:val="19"/>
  </w:num>
  <w:num w:numId="11" w16cid:durableId="318190384">
    <w:abstractNumId w:val="10"/>
  </w:num>
  <w:num w:numId="12" w16cid:durableId="696735103">
    <w:abstractNumId w:val="13"/>
  </w:num>
  <w:num w:numId="13" w16cid:durableId="710417064">
    <w:abstractNumId w:val="14"/>
  </w:num>
  <w:num w:numId="14" w16cid:durableId="1865821200">
    <w:abstractNumId w:val="23"/>
  </w:num>
  <w:num w:numId="15" w16cid:durableId="2001880371">
    <w:abstractNumId w:val="22"/>
  </w:num>
  <w:num w:numId="16" w16cid:durableId="26490248">
    <w:abstractNumId w:val="8"/>
  </w:num>
  <w:num w:numId="17" w16cid:durableId="1633827366">
    <w:abstractNumId w:val="20"/>
  </w:num>
  <w:num w:numId="18" w16cid:durableId="2069643061">
    <w:abstractNumId w:val="9"/>
  </w:num>
  <w:num w:numId="19" w16cid:durableId="12802923">
    <w:abstractNumId w:val="24"/>
  </w:num>
  <w:num w:numId="20" w16cid:durableId="1961104811">
    <w:abstractNumId w:val="5"/>
  </w:num>
  <w:num w:numId="21" w16cid:durableId="547647243">
    <w:abstractNumId w:val="1"/>
  </w:num>
  <w:num w:numId="22" w16cid:durableId="1893805515">
    <w:abstractNumId w:val="12"/>
  </w:num>
  <w:num w:numId="23" w16cid:durableId="1006320734">
    <w:abstractNumId w:val="0"/>
  </w:num>
  <w:num w:numId="24" w16cid:durableId="1699310704">
    <w:abstractNumId w:val="7"/>
  </w:num>
  <w:num w:numId="25" w16cid:durableId="232669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71"/>
    <w:rsid w:val="00006577"/>
    <w:rsid w:val="00014F23"/>
    <w:rsid w:val="00020403"/>
    <w:rsid w:val="000224CB"/>
    <w:rsid w:val="0004784D"/>
    <w:rsid w:val="00067659"/>
    <w:rsid w:val="00082F9D"/>
    <w:rsid w:val="0009578B"/>
    <w:rsid w:val="001055C4"/>
    <w:rsid w:val="0016343F"/>
    <w:rsid w:val="00165729"/>
    <w:rsid w:val="001939F4"/>
    <w:rsid w:val="00267925"/>
    <w:rsid w:val="0027200D"/>
    <w:rsid w:val="0028700D"/>
    <w:rsid w:val="002C67E5"/>
    <w:rsid w:val="002D1A55"/>
    <w:rsid w:val="002D4E1B"/>
    <w:rsid w:val="002E70B9"/>
    <w:rsid w:val="00315E66"/>
    <w:rsid w:val="00316126"/>
    <w:rsid w:val="00334A5D"/>
    <w:rsid w:val="0033579F"/>
    <w:rsid w:val="00351A1B"/>
    <w:rsid w:val="00360479"/>
    <w:rsid w:val="00391B47"/>
    <w:rsid w:val="003C56EB"/>
    <w:rsid w:val="003C7572"/>
    <w:rsid w:val="003D1571"/>
    <w:rsid w:val="003F063E"/>
    <w:rsid w:val="003F42AF"/>
    <w:rsid w:val="0040780D"/>
    <w:rsid w:val="0045157F"/>
    <w:rsid w:val="004C3ABE"/>
    <w:rsid w:val="004D496A"/>
    <w:rsid w:val="004E0389"/>
    <w:rsid w:val="00511C9C"/>
    <w:rsid w:val="00511EC2"/>
    <w:rsid w:val="00517AFC"/>
    <w:rsid w:val="0055083F"/>
    <w:rsid w:val="00564A41"/>
    <w:rsid w:val="00580F0B"/>
    <w:rsid w:val="005855D4"/>
    <w:rsid w:val="005912E6"/>
    <w:rsid w:val="005A1089"/>
    <w:rsid w:val="005B027A"/>
    <w:rsid w:val="005B2036"/>
    <w:rsid w:val="0060679C"/>
    <w:rsid w:val="0062484C"/>
    <w:rsid w:val="00683258"/>
    <w:rsid w:val="00687458"/>
    <w:rsid w:val="006A1EDA"/>
    <w:rsid w:val="006B596F"/>
    <w:rsid w:val="006E1BEE"/>
    <w:rsid w:val="006E3730"/>
    <w:rsid w:val="006F23CD"/>
    <w:rsid w:val="006F47E3"/>
    <w:rsid w:val="007131F4"/>
    <w:rsid w:val="00723F39"/>
    <w:rsid w:val="00732A73"/>
    <w:rsid w:val="0076507F"/>
    <w:rsid w:val="007661CF"/>
    <w:rsid w:val="00770621"/>
    <w:rsid w:val="00787EE4"/>
    <w:rsid w:val="00797AB5"/>
    <w:rsid w:val="007A6205"/>
    <w:rsid w:val="007E2725"/>
    <w:rsid w:val="00802E39"/>
    <w:rsid w:val="008271A6"/>
    <w:rsid w:val="00864BDF"/>
    <w:rsid w:val="00867EA5"/>
    <w:rsid w:val="00873A25"/>
    <w:rsid w:val="00897869"/>
    <w:rsid w:val="008A297D"/>
    <w:rsid w:val="008A6E06"/>
    <w:rsid w:val="008C13DB"/>
    <w:rsid w:val="00913251"/>
    <w:rsid w:val="00920197"/>
    <w:rsid w:val="00936FFD"/>
    <w:rsid w:val="00967735"/>
    <w:rsid w:val="00970778"/>
    <w:rsid w:val="009A46AF"/>
    <w:rsid w:val="009E0128"/>
    <w:rsid w:val="009F2F62"/>
    <w:rsid w:val="009F4CD9"/>
    <w:rsid w:val="009F7585"/>
    <w:rsid w:val="00A06B97"/>
    <w:rsid w:val="00A11E8B"/>
    <w:rsid w:val="00A24C68"/>
    <w:rsid w:val="00A41205"/>
    <w:rsid w:val="00B07C07"/>
    <w:rsid w:val="00B10819"/>
    <w:rsid w:val="00B36CBB"/>
    <w:rsid w:val="00B450B2"/>
    <w:rsid w:val="00B459BD"/>
    <w:rsid w:val="00B74CE0"/>
    <w:rsid w:val="00BA5227"/>
    <w:rsid w:val="00BC3556"/>
    <w:rsid w:val="00BC7B1F"/>
    <w:rsid w:val="00BD4461"/>
    <w:rsid w:val="00BD6510"/>
    <w:rsid w:val="00BF22EE"/>
    <w:rsid w:val="00C01606"/>
    <w:rsid w:val="00C103EC"/>
    <w:rsid w:val="00C10CEA"/>
    <w:rsid w:val="00C41AA6"/>
    <w:rsid w:val="00C63FD8"/>
    <w:rsid w:val="00CB4163"/>
    <w:rsid w:val="00CE355E"/>
    <w:rsid w:val="00CE6985"/>
    <w:rsid w:val="00CF64E0"/>
    <w:rsid w:val="00D14CE6"/>
    <w:rsid w:val="00D34264"/>
    <w:rsid w:val="00DF44EE"/>
    <w:rsid w:val="00DF48AE"/>
    <w:rsid w:val="00E13524"/>
    <w:rsid w:val="00E6508A"/>
    <w:rsid w:val="00E7558D"/>
    <w:rsid w:val="00EE08F7"/>
    <w:rsid w:val="00EE28F9"/>
    <w:rsid w:val="00F00F7F"/>
    <w:rsid w:val="00F60577"/>
    <w:rsid w:val="00F669DE"/>
    <w:rsid w:val="00F76306"/>
    <w:rsid w:val="00F9758C"/>
    <w:rsid w:val="00FD71A0"/>
    <w:rsid w:val="00FF0740"/>
    <w:rsid w:val="00FF452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A95BEA"/>
  <w15:docId w15:val="{DA0C2E18-2CFE-4BFE-84B1-0E3234BF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864BDF"/>
    <w:pPr>
      <w:keepNext/>
      <w:keepLines/>
      <w:spacing w:before="240" w:after="24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15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1571"/>
    <w:rPr>
      <w:rFonts w:ascii="Tahoma" w:hAnsi="Tahoma" w:cs="Tahoma"/>
      <w:sz w:val="16"/>
      <w:szCs w:val="16"/>
    </w:rPr>
  </w:style>
  <w:style w:type="paragraph" w:styleId="Encabezado">
    <w:name w:val="header"/>
    <w:basedOn w:val="Normal"/>
    <w:link w:val="EncabezadoCar"/>
    <w:uiPriority w:val="99"/>
    <w:unhideWhenUsed/>
    <w:rsid w:val="006F47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7E3"/>
  </w:style>
  <w:style w:type="paragraph" w:styleId="Piedepgina">
    <w:name w:val="footer"/>
    <w:basedOn w:val="Normal"/>
    <w:link w:val="PiedepginaCar"/>
    <w:uiPriority w:val="99"/>
    <w:unhideWhenUsed/>
    <w:rsid w:val="006F47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7E3"/>
  </w:style>
  <w:style w:type="character" w:customStyle="1" w:styleId="Ttulo2Car">
    <w:name w:val="Título 2 Car"/>
    <w:basedOn w:val="Fuentedeprrafopredeter"/>
    <w:link w:val="Ttulo2"/>
    <w:uiPriority w:val="9"/>
    <w:rsid w:val="00864BDF"/>
    <w:rPr>
      <w:rFonts w:asciiTheme="majorHAnsi" w:eastAsiaTheme="majorEastAsia" w:hAnsiTheme="majorHAnsi" w:cstheme="majorBidi"/>
      <w:b/>
      <w:bCs/>
      <w:color w:val="4F81BD" w:themeColor="accent1"/>
      <w:sz w:val="26"/>
      <w:szCs w:val="26"/>
      <w:lang w:val="es-ES_tradnl" w:eastAsia="es-ES"/>
    </w:rPr>
  </w:style>
  <w:style w:type="paragraph" w:styleId="Prrafodelista">
    <w:name w:val="List Paragraph"/>
    <w:basedOn w:val="Normal"/>
    <w:uiPriority w:val="34"/>
    <w:qFormat/>
    <w:rsid w:val="00864BDF"/>
    <w:pPr>
      <w:spacing w:after="0" w:line="240" w:lineRule="auto"/>
      <w:ind w:left="720"/>
      <w:contextualSpacing/>
    </w:pPr>
    <w:rPr>
      <w:sz w:val="24"/>
      <w:szCs w:val="24"/>
      <w:lang w:val="es-ES_tradnl" w:eastAsia="es-ES"/>
    </w:rPr>
  </w:style>
  <w:style w:type="paragraph" w:styleId="Textonotapie">
    <w:name w:val="footnote text"/>
    <w:basedOn w:val="Normal"/>
    <w:link w:val="TextonotapieCar"/>
    <w:uiPriority w:val="99"/>
    <w:unhideWhenUsed/>
    <w:rsid w:val="00864BDF"/>
    <w:pPr>
      <w:spacing w:after="0" w:line="240" w:lineRule="auto"/>
    </w:pPr>
    <w:rPr>
      <w:sz w:val="24"/>
      <w:szCs w:val="24"/>
    </w:rPr>
  </w:style>
  <w:style w:type="character" w:customStyle="1" w:styleId="TextonotapieCar">
    <w:name w:val="Texto nota pie Car"/>
    <w:basedOn w:val="Fuentedeprrafopredeter"/>
    <w:link w:val="Textonotapie"/>
    <w:uiPriority w:val="99"/>
    <w:rsid w:val="00864BDF"/>
    <w:rPr>
      <w:sz w:val="24"/>
      <w:szCs w:val="24"/>
    </w:rPr>
  </w:style>
  <w:style w:type="character" w:styleId="Refdenotaalpie">
    <w:name w:val="footnote reference"/>
    <w:basedOn w:val="Fuentedeprrafopredeter"/>
    <w:uiPriority w:val="99"/>
    <w:unhideWhenUsed/>
    <w:rsid w:val="00864BDF"/>
    <w:rPr>
      <w:vertAlign w:val="superscript"/>
    </w:rPr>
  </w:style>
  <w:style w:type="character" w:styleId="Refdecomentario">
    <w:name w:val="annotation reference"/>
    <w:basedOn w:val="Fuentedeprrafopredeter"/>
    <w:uiPriority w:val="99"/>
    <w:semiHidden/>
    <w:unhideWhenUsed/>
    <w:rsid w:val="0045157F"/>
    <w:rPr>
      <w:sz w:val="18"/>
      <w:szCs w:val="18"/>
    </w:rPr>
  </w:style>
  <w:style w:type="paragraph" w:styleId="Textocomentario">
    <w:name w:val="annotation text"/>
    <w:basedOn w:val="Normal"/>
    <w:link w:val="TextocomentarioCar"/>
    <w:uiPriority w:val="99"/>
    <w:semiHidden/>
    <w:unhideWhenUsed/>
    <w:rsid w:val="0045157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5157F"/>
    <w:rPr>
      <w:sz w:val="24"/>
      <w:szCs w:val="24"/>
    </w:rPr>
  </w:style>
  <w:style w:type="paragraph" w:styleId="Asuntodelcomentario">
    <w:name w:val="annotation subject"/>
    <w:basedOn w:val="Textocomentario"/>
    <w:next w:val="Textocomentario"/>
    <w:link w:val="AsuntodelcomentarioCar"/>
    <w:uiPriority w:val="99"/>
    <w:semiHidden/>
    <w:unhideWhenUsed/>
    <w:rsid w:val="0045157F"/>
    <w:rPr>
      <w:b/>
      <w:bCs/>
      <w:sz w:val="20"/>
      <w:szCs w:val="20"/>
    </w:rPr>
  </w:style>
  <w:style w:type="character" w:customStyle="1" w:styleId="AsuntodelcomentarioCar">
    <w:name w:val="Asunto del comentario Car"/>
    <w:basedOn w:val="TextocomentarioCar"/>
    <w:link w:val="Asuntodelcomentario"/>
    <w:uiPriority w:val="99"/>
    <w:semiHidden/>
    <w:rsid w:val="004515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F3C86E-2576-9040-8BE0-66A935D2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2050</Words>
  <Characters>11276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dc:creator>
  <cp:lastModifiedBy>mariana hurtado</cp:lastModifiedBy>
  <cp:revision>2</cp:revision>
  <cp:lastPrinted>2014-10-02T20:38:00Z</cp:lastPrinted>
  <dcterms:created xsi:type="dcterms:W3CDTF">2022-07-11T21:26:00Z</dcterms:created>
  <dcterms:modified xsi:type="dcterms:W3CDTF">2022-07-11T21:26:00Z</dcterms:modified>
</cp:coreProperties>
</file>